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7D80" w:rsidRDefault="005F7D80" w:rsidP="005F7D80">
      <w:pPr>
        <w:tabs>
          <w:tab w:val="left" w:pos="708"/>
        </w:tabs>
        <w:jc w:val="right"/>
        <w:rPr>
          <w:rFonts w:cs="Arial"/>
          <w:b/>
          <w:sz w:val="22"/>
          <w:szCs w:val="22"/>
        </w:rPr>
      </w:pPr>
      <w:r>
        <w:rPr>
          <w:rFonts w:cs="Arial"/>
          <w:b/>
          <w:sz w:val="22"/>
          <w:szCs w:val="22"/>
        </w:rPr>
        <w:t>PREDLOG</w:t>
      </w:r>
    </w:p>
    <w:p w:rsidR="005F7D80" w:rsidRDefault="00695804" w:rsidP="005F7D80">
      <w:pPr>
        <w:tabs>
          <w:tab w:val="left" w:pos="708"/>
        </w:tabs>
        <w:jc w:val="right"/>
        <w:rPr>
          <w:rFonts w:cs="Arial"/>
          <w:b/>
          <w:sz w:val="22"/>
          <w:szCs w:val="22"/>
        </w:rPr>
      </w:pPr>
      <w:r>
        <w:rPr>
          <w:rFonts w:cs="Arial"/>
          <w:b/>
          <w:sz w:val="22"/>
          <w:szCs w:val="22"/>
        </w:rPr>
        <w:t>18</w:t>
      </w:r>
      <w:r w:rsidR="005F7D80">
        <w:rPr>
          <w:rFonts w:cs="Arial"/>
          <w:b/>
          <w:sz w:val="22"/>
          <w:szCs w:val="22"/>
        </w:rPr>
        <w:t>.12.2017</w:t>
      </w:r>
    </w:p>
    <w:p w:rsidR="005F7D80" w:rsidRDefault="005F7D80" w:rsidP="005F7D80">
      <w:pPr>
        <w:tabs>
          <w:tab w:val="left" w:pos="708"/>
        </w:tabs>
        <w:rPr>
          <w:rFonts w:cs="Arial"/>
          <w:b/>
          <w:sz w:val="22"/>
          <w:szCs w:val="22"/>
        </w:rPr>
      </w:pP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p>
    <w:p w:rsidR="00467BCD" w:rsidRDefault="00467BCD" w:rsidP="00467BCD">
      <w:pPr>
        <w:tabs>
          <w:tab w:val="left" w:pos="708"/>
        </w:tabs>
        <w:jc w:val="right"/>
        <w:rPr>
          <w:rFonts w:cs="Arial"/>
          <w:b/>
          <w:sz w:val="22"/>
          <w:szCs w:val="22"/>
        </w:rPr>
      </w:pPr>
      <w:r>
        <w:rPr>
          <w:iCs/>
          <w:color w:val="000000"/>
        </w:rPr>
        <w:tab/>
      </w:r>
    </w:p>
    <w:p w:rsidR="00467BCD" w:rsidRDefault="00467BCD" w:rsidP="00467BCD">
      <w:pPr>
        <w:tabs>
          <w:tab w:val="left" w:pos="708"/>
        </w:tabs>
        <w:rPr>
          <w:rFonts w:cs="Arial"/>
          <w:b/>
          <w:sz w:val="22"/>
          <w:szCs w:val="22"/>
        </w:rPr>
      </w:pP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p>
    <w:p w:rsidR="00467BCD" w:rsidRDefault="00467BCD" w:rsidP="00467BCD">
      <w:pPr>
        <w:spacing w:line="240" w:lineRule="auto"/>
        <w:ind w:left="142"/>
        <w:jc w:val="both"/>
        <w:rPr>
          <w:rFonts w:cs="Arial"/>
          <w:b/>
          <w:bCs/>
          <w:sz w:val="22"/>
          <w:szCs w:val="22"/>
          <w:lang w:eastAsia="sl-SI"/>
        </w:rPr>
      </w:pPr>
      <w:r>
        <w:rPr>
          <w:rFonts w:cs="Arial"/>
          <w:sz w:val="22"/>
          <w:szCs w:val="22"/>
          <w:lang w:eastAsia="sl-SI"/>
        </w:rPr>
        <w:t>Na podlagi 13. člena Zakona o raziskovalni in razvojni dejavnosti (Uradni list RS, št. 22/06 – uradno prečiščeno besedilo, 61/06 – ZDru-1, 112/07, 9/11 in 57/12 – ZPOP-1A) izdaja Vlada Republike Slovenije</w:t>
      </w:r>
    </w:p>
    <w:p w:rsidR="00467BCD" w:rsidRDefault="00467BCD" w:rsidP="00467BCD">
      <w:pPr>
        <w:spacing w:line="240" w:lineRule="auto"/>
        <w:ind w:left="142"/>
        <w:jc w:val="both"/>
        <w:rPr>
          <w:rFonts w:cs="Arial"/>
          <w:b/>
          <w:bCs/>
          <w:sz w:val="22"/>
          <w:szCs w:val="22"/>
          <w:lang w:eastAsia="sl-SI"/>
        </w:rPr>
      </w:pPr>
    </w:p>
    <w:p w:rsidR="00467BCD" w:rsidRDefault="00467BCD" w:rsidP="00467BCD">
      <w:pPr>
        <w:spacing w:line="240" w:lineRule="auto"/>
        <w:ind w:left="142"/>
        <w:jc w:val="both"/>
        <w:rPr>
          <w:rFonts w:cs="Arial"/>
          <w:b/>
          <w:bCs/>
          <w:sz w:val="22"/>
          <w:szCs w:val="22"/>
          <w:lang w:eastAsia="sl-SI"/>
        </w:rPr>
      </w:pPr>
    </w:p>
    <w:p w:rsidR="00467BCD" w:rsidRDefault="00467BCD" w:rsidP="00467BCD">
      <w:pPr>
        <w:spacing w:line="240" w:lineRule="auto"/>
        <w:ind w:left="142"/>
        <w:jc w:val="center"/>
        <w:rPr>
          <w:rFonts w:cs="Arial"/>
          <w:b/>
          <w:bCs/>
          <w:sz w:val="22"/>
          <w:szCs w:val="22"/>
          <w:lang w:eastAsia="sl-SI"/>
        </w:rPr>
      </w:pPr>
      <w:r>
        <w:rPr>
          <w:rFonts w:cs="Arial"/>
          <w:b/>
          <w:bCs/>
          <w:sz w:val="22"/>
          <w:szCs w:val="22"/>
          <w:lang w:eastAsia="sl-SI"/>
        </w:rPr>
        <w:t>Uredbo o spremembah in dopolnitvah Uredbe o normativih in standardih za določanje sredstev za izvajanje raziskovalne dejavnosti, financirane iz Proračuna Republike Slovenije</w:t>
      </w:r>
    </w:p>
    <w:p w:rsidR="00467BCD" w:rsidRDefault="00467BCD" w:rsidP="00467BCD">
      <w:pPr>
        <w:rPr>
          <w:rFonts w:cs="Arial"/>
          <w:sz w:val="22"/>
          <w:szCs w:val="22"/>
          <w:lang w:eastAsia="sl-SI"/>
        </w:rPr>
      </w:pPr>
    </w:p>
    <w:p w:rsidR="00467BCD" w:rsidRDefault="00467BCD" w:rsidP="00467BCD">
      <w:pPr>
        <w:jc w:val="center"/>
        <w:rPr>
          <w:b/>
          <w:sz w:val="22"/>
          <w:szCs w:val="22"/>
        </w:rPr>
      </w:pPr>
    </w:p>
    <w:p w:rsidR="00467BCD" w:rsidRDefault="00467BCD" w:rsidP="00467BCD">
      <w:pPr>
        <w:jc w:val="center"/>
        <w:rPr>
          <w:sz w:val="22"/>
          <w:szCs w:val="22"/>
        </w:rPr>
      </w:pPr>
      <w:r>
        <w:rPr>
          <w:sz w:val="22"/>
          <w:szCs w:val="22"/>
        </w:rPr>
        <w:t>1. člen</w:t>
      </w:r>
    </w:p>
    <w:p w:rsidR="00467BCD" w:rsidRDefault="00467BCD" w:rsidP="00467BCD">
      <w:pPr>
        <w:jc w:val="center"/>
        <w:rPr>
          <w:sz w:val="22"/>
          <w:szCs w:val="22"/>
        </w:rPr>
      </w:pPr>
    </w:p>
    <w:p w:rsidR="00467BCD" w:rsidRDefault="00467BCD" w:rsidP="00467BCD">
      <w:pPr>
        <w:jc w:val="both"/>
        <w:rPr>
          <w:sz w:val="22"/>
          <w:szCs w:val="22"/>
        </w:rPr>
      </w:pPr>
      <w:r>
        <w:rPr>
          <w:sz w:val="22"/>
          <w:szCs w:val="22"/>
        </w:rPr>
        <w:t>V Uredbi o normativih in standardih za določanje sredstev za izvajanje raziskovalne dejavnosti, financirane iz Proračuna Republike Slovenije (Uradni list RS, št. 103/11, 56/12, 15/14, 103/15 in 27/17) se v drugem ods</w:t>
      </w:r>
      <w:r w:rsidR="00695804">
        <w:rPr>
          <w:sz w:val="22"/>
          <w:szCs w:val="22"/>
        </w:rPr>
        <w:t>tavku 17. člena v drugem stavku</w:t>
      </w:r>
      <w:r>
        <w:rPr>
          <w:sz w:val="22"/>
          <w:szCs w:val="22"/>
        </w:rPr>
        <w:t xml:space="preserve"> besedi »dva razreda« nadomestita z besedama »tri razrede«.</w:t>
      </w:r>
    </w:p>
    <w:p w:rsidR="00467BCD" w:rsidRDefault="00467BCD" w:rsidP="00467BCD">
      <w:pPr>
        <w:rPr>
          <w:sz w:val="22"/>
          <w:szCs w:val="22"/>
        </w:rPr>
      </w:pPr>
    </w:p>
    <w:p w:rsidR="00467BCD" w:rsidRDefault="00467BCD" w:rsidP="00467BCD">
      <w:pPr>
        <w:jc w:val="both"/>
        <w:rPr>
          <w:sz w:val="22"/>
          <w:szCs w:val="22"/>
        </w:rPr>
      </w:pPr>
    </w:p>
    <w:p w:rsidR="00467BCD" w:rsidRDefault="00467BCD" w:rsidP="00467BCD">
      <w:pPr>
        <w:jc w:val="center"/>
        <w:rPr>
          <w:sz w:val="22"/>
          <w:szCs w:val="22"/>
        </w:rPr>
      </w:pPr>
      <w:r>
        <w:rPr>
          <w:sz w:val="22"/>
          <w:szCs w:val="22"/>
        </w:rPr>
        <w:t>2. člen</w:t>
      </w:r>
    </w:p>
    <w:p w:rsidR="00467BCD" w:rsidRDefault="00467BCD" w:rsidP="00467BCD">
      <w:pPr>
        <w:jc w:val="center"/>
        <w:rPr>
          <w:sz w:val="22"/>
          <w:szCs w:val="22"/>
        </w:rPr>
      </w:pPr>
    </w:p>
    <w:p w:rsidR="00467BCD" w:rsidRDefault="00467BCD" w:rsidP="00467BCD">
      <w:pPr>
        <w:jc w:val="both"/>
        <w:rPr>
          <w:sz w:val="22"/>
          <w:szCs w:val="22"/>
        </w:rPr>
      </w:pPr>
      <w:r>
        <w:rPr>
          <w:sz w:val="22"/>
          <w:szCs w:val="22"/>
        </w:rPr>
        <w:t>V drugem odstavku 18. člena se v drugem stavku besedi »dva razreda« nadomestita z besedama »tri razrede«.</w:t>
      </w:r>
    </w:p>
    <w:p w:rsidR="00467BCD" w:rsidRDefault="00467BCD" w:rsidP="00467BCD">
      <w:pPr>
        <w:jc w:val="both"/>
        <w:rPr>
          <w:sz w:val="22"/>
          <w:szCs w:val="22"/>
        </w:rPr>
      </w:pPr>
    </w:p>
    <w:p w:rsidR="00467BCD" w:rsidRDefault="00467BCD" w:rsidP="00467BCD">
      <w:pPr>
        <w:rPr>
          <w:sz w:val="22"/>
          <w:szCs w:val="22"/>
        </w:rPr>
      </w:pPr>
    </w:p>
    <w:p w:rsidR="00467BCD" w:rsidRDefault="00467BCD" w:rsidP="00467BCD">
      <w:pPr>
        <w:jc w:val="center"/>
        <w:rPr>
          <w:sz w:val="22"/>
          <w:szCs w:val="22"/>
        </w:rPr>
      </w:pPr>
      <w:r>
        <w:rPr>
          <w:sz w:val="22"/>
          <w:szCs w:val="22"/>
        </w:rPr>
        <w:t>3. člen</w:t>
      </w:r>
    </w:p>
    <w:p w:rsidR="00467BCD" w:rsidRDefault="00467BCD" w:rsidP="00467BCD">
      <w:pPr>
        <w:rPr>
          <w:sz w:val="22"/>
          <w:szCs w:val="22"/>
        </w:rPr>
      </w:pPr>
      <w:r>
        <w:rPr>
          <w:sz w:val="22"/>
          <w:szCs w:val="22"/>
        </w:rPr>
        <w:t xml:space="preserve"> </w:t>
      </w:r>
    </w:p>
    <w:p w:rsidR="00467BCD" w:rsidRDefault="00467BCD" w:rsidP="00467BCD">
      <w:pPr>
        <w:jc w:val="both"/>
        <w:rPr>
          <w:sz w:val="22"/>
          <w:szCs w:val="22"/>
        </w:rPr>
      </w:pPr>
      <w:r>
        <w:rPr>
          <w:sz w:val="22"/>
          <w:szCs w:val="22"/>
        </w:rPr>
        <w:t>V drugem odstavku 19. člena se v drugem stavku besedi »dva razreda« nadomestita z besedama »tri razrede«.</w:t>
      </w:r>
    </w:p>
    <w:p w:rsidR="00467BCD" w:rsidRDefault="00467BCD" w:rsidP="00467BCD">
      <w:pPr>
        <w:jc w:val="both"/>
        <w:rPr>
          <w:sz w:val="22"/>
          <w:szCs w:val="22"/>
        </w:rPr>
      </w:pPr>
    </w:p>
    <w:p w:rsidR="00467BCD" w:rsidRDefault="00467BCD" w:rsidP="00467BCD">
      <w:pPr>
        <w:rPr>
          <w:sz w:val="22"/>
          <w:szCs w:val="22"/>
        </w:rPr>
      </w:pPr>
    </w:p>
    <w:p w:rsidR="00467BCD" w:rsidRDefault="00467BCD" w:rsidP="00467BCD">
      <w:pPr>
        <w:jc w:val="center"/>
        <w:rPr>
          <w:sz w:val="22"/>
          <w:szCs w:val="22"/>
        </w:rPr>
      </w:pPr>
      <w:r>
        <w:rPr>
          <w:sz w:val="22"/>
          <w:szCs w:val="22"/>
        </w:rPr>
        <w:t>4. člen</w:t>
      </w:r>
    </w:p>
    <w:p w:rsidR="00467BCD" w:rsidRDefault="00467BCD" w:rsidP="00467BCD">
      <w:pPr>
        <w:jc w:val="center"/>
        <w:rPr>
          <w:sz w:val="22"/>
          <w:szCs w:val="22"/>
        </w:rPr>
      </w:pPr>
    </w:p>
    <w:p w:rsidR="00695804" w:rsidRDefault="00695804" w:rsidP="00695804">
      <w:pPr>
        <w:jc w:val="both"/>
        <w:rPr>
          <w:sz w:val="22"/>
          <w:szCs w:val="22"/>
        </w:rPr>
      </w:pPr>
      <w:r>
        <w:rPr>
          <w:sz w:val="22"/>
          <w:szCs w:val="22"/>
        </w:rPr>
        <w:t xml:space="preserve">V drugem odstavku 27. člena se prva, druga in tretja alineja spremenijo tako, da se glasijo: </w:t>
      </w:r>
    </w:p>
    <w:p w:rsidR="00695804" w:rsidRDefault="00695804" w:rsidP="00695804">
      <w:pPr>
        <w:jc w:val="both"/>
        <w:rPr>
          <w:sz w:val="22"/>
          <w:szCs w:val="22"/>
        </w:rPr>
      </w:pPr>
    </w:p>
    <w:p w:rsidR="00695804" w:rsidRDefault="00695804" w:rsidP="00695804">
      <w:pPr>
        <w:jc w:val="both"/>
        <w:rPr>
          <w:sz w:val="22"/>
          <w:szCs w:val="22"/>
        </w:rPr>
      </w:pPr>
      <w:r>
        <w:rPr>
          <w:sz w:val="22"/>
          <w:szCs w:val="22"/>
        </w:rPr>
        <w:t>»</w:t>
      </w:r>
    </w:p>
    <w:p w:rsidR="00695804" w:rsidRDefault="00695804" w:rsidP="00695804">
      <w:pPr>
        <w:pStyle w:val="Odstavekseznama"/>
        <w:numPr>
          <w:ilvl w:val="0"/>
          <w:numId w:val="2"/>
        </w:numPr>
        <w:ind w:hanging="1080"/>
        <w:jc w:val="both"/>
        <w:rPr>
          <w:sz w:val="22"/>
          <w:szCs w:val="22"/>
        </w:rPr>
      </w:pPr>
      <w:r>
        <w:rPr>
          <w:sz w:val="22"/>
          <w:szCs w:val="22"/>
        </w:rPr>
        <w:t>za izvajalce raziskovalnih programov:</w:t>
      </w:r>
    </w:p>
    <w:p w:rsidR="00695804" w:rsidRDefault="00695804" w:rsidP="00695804">
      <w:pPr>
        <w:pStyle w:val="Odstavekseznama"/>
        <w:jc w:val="both"/>
        <w:rPr>
          <w:sz w:val="22"/>
          <w:szCs w:val="22"/>
        </w:rPr>
      </w:pPr>
    </w:p>
    <w:p w:rsidR="00695804" w:rsidRDefault="00695804" w:rsidP="00695804">
      <w:pPr>
        <w:jc w:val="both"/>
        <w:rPr>
          <w:sz w:val="22"/>
          <w:szCs w:val="22"/>
        </w:rPr>
      </w:pPr>
    </w:p>
    <w:tbl>
      <w:tblPr>
        <w:tblW w:w="4250" w:type="pct"/>
        <w:jc w:val="center"/>
        <w:tblLook w:val="04A0" w:firstRow="1" w:lastRow="0" w:firstColumn="1" w:lastColumn="0" w:noHBand="0" w:noVBand="1"/>
      </w:tblPr>
      <w:tblGrid>
        <w:gridCol w:w="296"/>
        <w:gridCol w:w="2566"/>
        <w:gridCol w:w="806"/>
        <w:gridCol w:w="806"/>
        <w:gridCol w:w="806"/>
        <w:gridCol w:w="806"/>
        <w:gridCol w:w="806"/>
        <w:gridCol w:w="806"/>
      </w:tblGrid>
      <w:tr w:rsidR="00695804" w:rsidTr="00695804">
        <w:trPr>
          <w:jc w:val="center"/>
        </w:trPr>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rPr>
                <w:sz w:val="22"/>
                <w:szCs w:val="22"/>
              </w:rPr>
            </w:pP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jc w:val="center"/>
              <w:rPr>
                <w:rFonts w:ascii="Verdana" w:hAnsi="Verdana"/>
                <w:b/>
                <w:bCs/>
                <w:color w:val="000000"/>
                <w:sz w:val="17"/>
                <w:szCs w:val="17"/>
                <w:lang w:eastAsia="sl-SI"/>
              </w:rPr>
            </w:pPr>
            <w:r>
              <w:rPr>
                <w:rFonts w:ascii="Verdana" w:hAnsi="Verdana"/>
                <w:b/>
                <w:bCs/>
                <w:color w:val="000000"/>
                <w:sz w:val="17"/>
                <w:szCs w:val="17"/>
                <w:lang w:eastAsia="sl-SI"/>
              </w:rPr>
              <w:t>ELEMENT CENE</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jc w:val="center"/>
              <w:rPr>
                <w:rFonts w:ascii="Verdana" w:hAnsi="Verdana"/>
                <w:b/>
                <w:bCs/>
                <w:color w:val="000000"/>
                <w:sz w:val="17"/>
                <w:szCs w:val="17"/>
                <w:lang w:eastAsia="sl-SI"/>
              </w:rPr>
            </w:pPr>
            <w:r>
              <w:rPr>
                <w:rFonts w:ascii="Verdana" w:hAnsi="Verdana"/>
                <w:b/>
                <w:bCs/>
                <w:color w:val="000000"/>
                <w:sz w:val="17"/>
                <w:szCs w:val="17"/>
                <w:lang w:eastAsia="sl-SI"/>
              </w:rPr>
              <w:t>A</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jc w:val="center"/>
              <w:rPr>
                <w:rFonts w:ascii="Verdana" w:hAnsi="Verdana"/>
                <w:b/>
                <w:bCs/>
                <w:color w:val="000000"/>
                <w:sz w:val="17"/>
                <w:szCs w:val="17"/>
                <w:lang w:eastAsia="sl-SI"/>
              </w:rPr>
            </w:pPr>
            <w:r>
              <w:rPr>
                <w:rFonts w:ascii="Verdana" w:hAnsi="Verdana"/>
                <w:b/>
                <w:bCs/>
                <w:color w:val="000000"/>
                <w:sz w:val="17"/>
                <w:szCs w:val="17"/>
                <w:lang w:eastAsia="sl-SI"/>
              </w:rPr>
              <w:t>B</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jc w:val="center"/>
              <w:rPr>
                <w:rFonts w:ascii="Verdana" w:hAnsi="Verdana"/>
                <w:b/>
                <w:bCs/>
                <w:color w:val="000000"/>
                <w:sz w:val="17"/>
                <w:szCs w:val="17"/>
                <w:lang w:eastAsia="sl-SI"/>
              </w:rPr>
            </w:pPr>
            <w:r>
              <w:rPr>
                <w:rFonts w:ascii="Verdana" w:hAnsi="Verdana"/>
                <w:b/>
                <w:bCs/>
                <w:color w:val="000000"/>
                <w:sz w:val="17"/>
                <w:szCs w:val="17"/>
                <w:lang w:eastAsia="sl-SI"/>
              </w:rPr>
              <w:t>C</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jc w:val="center"/>
              <w:rPr>
                <w:rFonts w:ascii="Verdana" w:hAnsi="Verdana"/>
                <w:b/>
                <w:bCs/>
                <w:color w:val="000000"/>
                <w:sz w:val="17"/>
                <w:szCs w:val="17"/>
                <w:lang w:eastAsia="sl-SI"/>
              </w:rPr>
            </w:pPr>
            <w:r>
              <w:rPr>
                <w:rFonts w:ascii="Verdana" w:hAnsi="Verdana"/>
                <w:b/>
                <w:bCs/>
                <w:color w:val="000000"/>
                <w:sz w:val="17"/>
                <w:szCs w:val="17"/>
                <w:lang w:eastAsia="sl-SI"/>
              </w:rPr>
              <w:t>D</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jc w:val="center"/>
              <w:rPr>
                <w:rFonts w:ascii="Verdana" w:hAnsi="Verdana"/>
                <w:b/>
                <w:bCs/>
                <w:color w:val="000000"/>
                <w:sz w:val="17"/>
                <w:szCs w:val="17"/>
                <w:lang w:eastAsia="sl-SI"/>
              </w:rPr>
            </w:pPr>
            <w:r>
              <w:rPr>
                <w:rFonts w:ascii="Verdana" w:hAnsi="Verdana"/>
                <w:b/>
                <w:bCs/>
                <w:color w:val="000000"/>
                <w:sz w:val="17"/>
                <w:szCs w:val="17"/>
                <w:lang w:eastAsia="sl-SI"/>
              </w:rPr>
              <w:t>E</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jc w:val="center"/>
              <w:rPr>
                <w:rFonts w:ascii="Verdana" w:hAnsi="Verdana"/>
                <w:b/>
                <w:bCs/>
                <w:color w:val="000000"/>
                <w:sz w:val="17"/>
                <w:szCs w:val="17"/>
                <w:lang w:eastAsia="sl-SI"/>
              </w:rPr>
            </w:pPr>
            <w:r>
              <w:rPr>
                <w:rFonts w:ascii="Verdana" w:hAnsi="Verdana"/>
                <w:b/>
                <w:bCs/>
                <w:color w:val="000000"/>
                <w:sz w:val="17"/>
                <w:szCs w:val="17"/>
                <w:lang w:eastAsia="sl-SI"/>
              </w:rPr>
              <w:t>F</w:t>
            </w:r>
          </w:p>
        </w:tc>
      </w:tr>
      <w:tr w:rsidR="00695804" w:rsidTr="00695804">
        <w:trPr>
          <w:jc w:val="center"/>
        </w:trPr>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color w:val="000000"/>
                <w:sz w:val="17"/>
                <w:szCs w:val="17"/>
                <w:lang w:eastAsia="sl-SI"/>
              </w:rPr>
              <w:t>1.</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color w:val="000000"/>
                <w:sz w:val="17"/>
                <w:szCs w:val="17"/>
                <w:lang w:eastAsia="sl-SI"/>
              </w:rPr>
              <w:t>Plača</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124,05</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124,05</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124,05</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124,05</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124,05</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124,05</w:t>
            </w:r>
          </w:p>
        </w:tc>
      </w:tr>
      <w:tr w:rsidR="00695804" w:rsidTr="00695804">
        <w:trPr>
          <w:jc w:val="center"/>
        </w:trPr>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color w:val="000000"/>
                <w:sz w:val="17"/>
                <w:szCs w:val="17"/>
                <w:lang w:eastAsia="sl-SI"/>
              </w:rPr>
              <w:t>2.</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color w:val="000000"/>
                <w:sz w:val="17"/>
                <w:szCs w:val="17"/>
                <w:lang w:eastAsia="sl-SI"/>
              </w:rPr>
              <w:t>Prispevki</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20,00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20,00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20,00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20,00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20,00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20,00</w:t>
            </w:r>
          </w:p>
        </w:tc>
      </w:tr>
      <w:tr w:rsidR="00695804" w:rsidTr="00695804">
        <w:trPr>
          <w:jc w:val="center"/>
        </w:trPr>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color w:val="000000"/>
                <w:sz w:val="17"/>
                <w:szCs w:val="17"/>
                <w:lang w:eastAsia="sl-SI"/>
              </w:rPr>
              <w:t>3.</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color w:val="000000"/>
                <w:sz w:val="17"/>
                <w:szCs w:val="17"/>
                <w:lang w:eastAsia="sl-SI"/>
              </w:rPr>
              <w:t>Materialni stroški in storitve</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35,30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49,78</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66,21</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82,83</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98,70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114,55</w:t>
            </w:r>
          </w:p>
        </w:tc>
      </w:tr>
      <w:tr w:rsidR="00695804" w:rsidTr="00695804">
        <w:trPr>
          <w:jc w:val="center"/>
        </w:trPr>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color w:val="000000"/>
                <w:sz w:val="17"/>
                <w:szCs w:val="17"/>
                <w:lang w:eastAsia="sl-SI"/>
              </w:rPr>
              <w:t>4.</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color w:val="000000"/>
                <w:sz w:val="17"/>
                <w:szCs w:val="17"/>
                <w:lang w:eastAsia="sl-SI"/>
              </w:rPr>
              <w:t>Amortizacija</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10,03</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18,62</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31,55</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41,90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52,55</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63,20</w:t>
            </w:r>
          </w:p>
        </w:tc>
      </w:tr>
      <w:tr w:rsidR="00695804" w:rsidTr="00695804">
        <w:trPr>
          <w:jc w:val="center"/>
        </w:trPr>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b/>
                <w:bCs/>
                <w:color w:val="000000"/>
                <w:sz w:val="17"/>
                <w:szCs w:val="17"/>
                <w:lang w:eastAsia="sl-SI"/>
              </w:rPr>
              <w:t>Obračunske točke</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b/>
                <w:color w:val="000000"/>
                <w:sz w:val="17"/>
                <w:szCs w:val="17"/>
                <w:lang w:eastAsia="sl-SI"/>
              </w:rPr>
            </w:pPr>
            <w:r>
              <w:rPr>
                <w:rFonts w:ascii="Verdana" w:hAnsi="Verdana"/>
                <w:b/>
                <w:color w:val="000000"/>
                <w:sz w:val="17"/>
                <w:szCs w:val="17"/>
                <w:lang w:eastAsia="sl-SI"/>
              </w:rPr>
              <w:t>189,38</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b/>
                <w:color w:val="000000"/>
                <w:sz w:val="17"/>
                <w:szCs w:val="17"/>
                <w:lang w:eastAsia="sl-SI"/>
              </w:rPr>
            </w:pPr>
            <w:r>
              <w:rPr>
                <w:rFonts w:ascii="Verdana" w:hAnsi="Verdana"/>
                <w:b/>
                <w:color w:val="000000"/>
                <w:sz w:val="17"/>
                <w:szCs w:val="17"/>
                <w:lang w:eastAsia="sl-SI"/>
              </w:rPr>
              <w:t>212,45</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b/>
                <w:color w:val="000000"/>
                <w:sz w:val="17"/>
                <w:szCs w:val="17"/>
                <w:lang w:eastAsia="sl-SI"/>
              </w:rPr>
            </w:pPr>
            <w:r>
              <w:rPr>
                <w:rFonts w:ascii="Verdana" w:hAnsi="Verdana"/>
                <w:b/>
                <w:color w:val="000000"/>
                <w:sz w:val="17"/>
                <w:szCs w:val="17"/>
                <w:lang w:eastAsia="sl-SI"/>
              </w:rPr>
              <w:t>241,81</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b/>
                <w:color w:val="000000"/>
                <w:sz w:val="17"/>
                <w:szCs w:val="17"/>
                <w:lang w:eastAsia="sl-SI"/>
              </w:rPr>
            </w:pPr>
            <w:r>
              <w:rPr>
                <w:rFonts w:ascii="Verdana" w:hAnsi="Verdana"/>
                <w:b/>
                <w:color w:val="000000"/>
                <w:sz w:val="17"/>
                <w:szCs w:val="17"/>
                <w:lang w:eastAsia="sl-SI"/>
              </w:rPr>
              <w:t>268,78</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b/>
                <w:color w:val="000000"/>
                <w:sz w:val="17"/>
                <w:szCs w:val="17"/>
                <w:lang w:eastAsia="sl-SI"/>
              </w:rPr>
            </w:pPr>
            <w:r>
              <w:rPr>
                <w:rFonts w:ascii="Verdana" w:hAnsi="Verdana"/>
                <w:b/>
                <w:color w:val="000000"/>
                <w:sz w:val="17"/>
                <w:szCs w:val="17"/>
                <w:lang w:eastAsia="sl-SI"/>
              </w:rPr>
              <w:t>295,30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b/>
                <w:color w:val="000000"/>
                <w:sz w:val="17"/>
                <w:szCs w:val="17"/>
                <w:lang w:eastAsia="sl-SI"/>
              </w:rPr>
            </w:pPr>
            <w:r>
              <w:rPr>
                <w:rFonts w:ascii="Verdana" w:hAnsi="Verdana"/>
                <w:b/>
                <w:color w:val="000000"/>
                <w:sz w:val="17"/>
                <w:szCs w:val="17"/>
                <w:lang w:eastAsia="sl-SI"/>
              </w:rPr>
              <w:t>321,80</w:t>
            </w:r>
          </w:p>
        </w:tc>
      </w:tr>
    </w:tbl>
    <w:p w:rsidR="00695804" w:rsidRDefault="00695804" w:rsidP="00695804">
      <w:pPr>
        <w:jc w:val="both"/>
        <w:rPr>
          <w:sz w:val="22"/>
          <w:szCs w:val="22"/>
        </w:rPr>
      </w:pPr>
    </w:p>
    <w:p w:rsidR="00695804" w:rsidRDefault="00695804" w:rsidP="00695804">
      <w:pPr>
        <w:jc w:val="both"/>
        <w:rPr>
          <w:sz w:val="22"/>
          <w:szCs w:val="22"/>
        </w:rPr>
      </w:pPr>
    </w:p>
    <w:p w:rsidR="00695804" w:rsidRDefault="00695804" w:rsidP="00695804">
      <w:pPr>
        <w:pStyle w:val="Odstavekseznama"/>
        <w:jc w:val="both"/>
        <w:rPr>
          <w:sz w:val="22"/>
          <w:szCs w:val="22"/>
        </w:rPr>
      </w:pPr>
    </w:p>
    <w:p w:rsidR="00695804" w:rsidRDefault="00695804" w:rsidP="00695804">
      <w:pPr>
        <w:pStyle w:val="Odstavekseznama"/>
        <w:numPr>
          <w:ilvl w:val="0"/>
          <w:numId w:val="2"/>
        </w:numPr>
        <w:ind w:hanging="1080"/>
        <w:jc w:val="both"/>
        <w:rPr>
          <w:sz w:val="22"/>
          <w:szCs w:val="22"/>
        </w:rPr>
      </w:pPr>
      <w:r>
        <w:rPr>
          <w:sz w:val="22"/>
          <w:szCs w:val="22"/>
        </w:rPr>
        <w:t>za izvajalce raziskovalnih pro</w:t>
      </w:r>
      <w:r>
        <w:rPr>
          <w:sz w:val="22"/>
          <w:szCs w:val="22"/>
        </w:rPr>
        <w:t>jektov</w:t>
      </w:r>
      <w:r>
        <w:rPr>
          <w:sz w:val="22"/>
          <w:szCs w:val="22"/>
        </w:rPr>
        <w:t>:</w:t>
      </w:r>
    </w:p>
    <w:p w:rsidR="00695804" w:rsidRDefault="00695804" w:rsidP="00695804">
      <w:pPr>
        <w:jc w:val="both"/>
        <w:rPr>
          <w:sz w:val="22"/>
          <w:szCs w:val="22"/>
        </w:rPr>
      </w:pPr>
    </w:p>
    <w:tbl>
      <w:tblPr>
        <w:tblW w:w="4250" w:type="pct"/>
        <w:jc w:val="center"/>
        <w:tblLook w:val="04A0" w:firstRow="1" w:lastRow="0" w:firstColumn="1" w:lastColumn="0" w:noHBand="0" w:noVBand="1"/>
      </w:tblPr>
      <w:tblGrid>
        <w:gridCol w:w="296"/>
        <w:gridCol w:w="2566"/>
        <w:gridCol w:w="806"/>
        <w:gridCol w:w="806"/>
        <w:gridCol w:w="806"/>
        <w:gridCol w:w="806"/>
        <w:gridCol w:w="806"/>
        <w:gridCol w:w="806"/>
      </w:tblGrid>
      <w:tr w:rsidR="00695804" w:rsidTr="00695804">
        <w:trPr>
          <w:jc w:val="center"/>
        </w:trPr>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rPr>
                <w:sz w:val="22"/>
                <w:szCs w:val="22"/>
              </w:rPr>
            </w:pP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jc w:val="center"/>
              <w:rPr>
                <w:rFonts w:ascii="Verdana" w:hAnsi="Verdana"/>
                <w:b/>
                <w:bCs/>
                <w:color w:val="000000"/>
                <w:sz w:val="17"/>
                <w:szCs w:val="17"/>
                <w:lang w:eastAsia="sl-SI"/>
              </w:rPr>
            </w:pPr>
            <w:r>
              <w:rPr>
                <w:rFonts w:ascii="Verdana" w:hAnsi="Verdana"/>
                <w:b/>
                <w:bCs/>
                <w:color w:val="000000"/>
                <w:sz w:val="17"/>
                <w:szCs w:val="17"/>
                <w:lang w:eastAsia="sl-SI"/>
              </w:rPr>
              <w:t>ELEMENT CENE</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jc w:val="center"/>
              <w:rPr>
                <w:rFonts w:ascii="Verdana" w:hAnsi="Verdana"/>
                <w:b/>
                <w:bCs/>
                <w:color w:val="000000"/>
                <w:sz w:val="17"/>
                <w:szCs w:val="17"/>
                <w:lang w:eastAsia="sl-SI"/>
              </w:rPr>
            </w:pPr>
            <w:r>
              <w:rPr>
                <w:rFonts w:ascii="Verdana" w:hAnsi="Verdana"/>
                <w:b/>
                <w:bCs/>
                <w:color w:val="000000"/>
                <w:sz w:val="17"/>
                <w:szCs w:val="17"/>
                <w:lang w:eastAsia="sl-SI"/>
              </w:rPr>
              <w:t>A</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jc w:val="center"/>
              <w:rPr>
                <w:rFonts w:ascii="Verdana" w:hAnsi="Verdana"/>
                <w:b/>
                <w:bCs/>
                <w:color w:val="000000"/>
                <w:sz w:val="17"/>
                <w:szCs w:val="17"/>
                <w:lang w:eastAsia="sl-SI"/>
              </w:rPr>
            </w:pPr>
            <w:r>
              <w:rPr>
                <w:rFonts w:ascii="Verdana" w:hAnsi="Verdana"/>
                <w:b/>
                <w:bCs/>
                <w:color w:val="000000"/>
                <w:sz w:val="17"/>
                <w:szCs w:val="17"/>
                <w:lang w:eastAsia="sl-SI"/>
              </w:rPr>
              <w:t>B</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jc w:val="center"/>
              <w:rPr>
                <w:rFonts w:ascii="Verdana" w:hAnsi="Verdana"/>
                <w:b/>
                <w:bCs/>
                <w:color w:val="000000"/>
                <w:sz w:val="17"/>
                <w:szCs w:val="17"/>
                <w:lang w:eastAsia="sl-SI"/>
              </w:rPr>
            </w:pPr>
            <w:r>
              <w:rPr>
                <w:rFonts w:ascii="Verdana" w:hAnsi="Verdana"/>
                <w:b/>
                <w:bCs/>
                <w:color w:val="000000"/>
                <w:sz w:val="17"/>
                <w:szCs w:val="17"/>
                <w:lang w:eastAsia="sl-SI"/>
              </w:rPr>
              <w:t>C</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jc w:val="center"/>
              <w:rPr>
                <w:rFonts w:ascii="Verdana" w:hAnsi="Verdana"/>
                <w:b/>
                <w:bCs/>
                <w:color w:val="000000"/>
                <w:sz w:val="17"/>
                <w:szCs w:val="17"/>
                <w:lang w:eastAsia="sl-SI"/>
              </w:rPr>
            </w:pPr>
            <w:r>
              <w:rPr>
                <w:rFonts w:ascii="Verdana" w:hAnsi="Verdana"/>
                <w:b/>
                <w:bCs/>
                <w:color w:val="000000"/>
                <w:sz w:val="17"/>
                <w:szCs w:val="17"/>
                <w:lang w:eastAsia="sl-SI"/>
              </w:rPr>
              <w:t>D</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jc w:val="center"/>
              <w:rPr>
                <w:rFonts w:ascii="Verdana" w:hAnsi="Verdana"/>
                <w:b/>
                <w:bCs/>
                <w:color w:val="000000"/>
                <w:sz w:val="17"/>
                <w:szCs w:val="17"/>
                <w:lang w:eastAsia="sl-SI"/>
              </w:rPr>
            </w:pPr>
            <w:r>
              <w:rPr>
                <w:rFonts w:ascii="Verdana" w:hAnsi="Verdana"/>
                <w:b/>
                <w:bCs/>
                <w:color w:val="000000"/>
                <w:sz w:val="17"/>
                <w:szCs w:val="17"/>
                <w:lang w:eastAsia="sl-SI"/>
              </w:rPr>
              <w:t>E</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jc w:val="center"/>
              <w:rPr>
                <w:rFonts w:ascii="Verdana" w:hAnsi="Verdana"/>
                <w:b/>
                <w:bCs/>
                <w:color w:val="000000"/>
                <w:sz w:val="17"/>
                <w:szCs w:val="17"/>
                <w:lang w:eastAsia="sl-SI"/>
              </w:rPr>
            </w:pPr>
            <w:r>
              <w:rPr>
                <w:rFonts w:ascii="Verdana" w:hAnsi="Verdana"/>
                <w:b/>
                <w:bCs/>
                <w:color w:val="000000"/>
                <w:sz w:val="17"/>
                <w:szCs w:val="17"/>
                <w:lang w:eastAsia="sl-SI"/>
              </w:rPr>
              <w:t>F</w:t>
            </w:r>
          </w:p>
        </w:tc>
      </w:tr>
      <w:tr w:rsidR="00695804" w:rsidTr="00695804">
        <w:trPr>
          <w:jc w:val="center"/>
        </w:trPr>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color w:val="000000"/>
                <w:sz w:val="17"/>
                <w:szCs w:val="17"/>
                <w:lang w:eastAsia="sl-SI"/>
              </w:rPr>
              <w:t>1.</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color w:val="000000"/>
                <w:sz w:val="17"/>
                <w:szCs w:val="17"/>
                <w:lang w:eastAsia="sl-SI"/>
              </w:rPr>
              <w:t>Plača</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112,93</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112,93</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112,93</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112,93</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112,93</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112,93</w:t>
            </w:r>
          </w:p>
        </w:tc>
      </w:tr>
      <w:tr w:rsidR="00695804" w:rsidTr="00695804">
        <w:trPr>
          <w:jc w:val="center"/>
        </w:trPr>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color w:val="000000"/>
                <w:sz w:val="17"/>
                <w:szCs w:val="17"/>
                <w:lang w:eastAsia="sl-SI"/>
              </w:rPr>
              <w:t>2.</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color w:val="000000"/>
                <w:sz w:val="17"/>
                <w:szCs w:val="17"/>
                <w:lang w:eastAsia="sl-SI"/>
              </w:rPr>
              <w:t>Prispevki</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18,17</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18,17</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18,17</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18,17</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18,17</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18,17</w:t>
            </w:r>
          </w:p>
        </w:tc>
      </w:tr>
      <w:tr w:rsidR="00695804" w:rsidTr="00695804">
        <w:trPr>
          <w:jc w:val="center"/>
        </w:trPr>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color w:val="000000"/>
                <w:sz w:val="17"/>
                <w:szCs w:val="17"/>
                <w:lang w:eastAsia="sl-SI"/>
              </w:rPr>
              <w:t>3.</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color w:val="000000"/>
                <w:sz w:val="17"/>
                <w:szCs w:val="17"/>
                <w:lang w:eastAsia="sl-SI"/>
              </w:rPr>
              <w:t>Materialni stroški in storitve</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35,30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49,78</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66,21</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82,83</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98,70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114,55</w:t>
            </w:r>
          </w:p>
        </w:tc>
      </w:tr>
      <w:tr w:rsidR="00695804" w:rsidTr="00695804">
        <w:trPr>
          <w:jc w:val="center"/>
        </w:trPr>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color w:val="000000"/>
                <w:sz w:val="17"/>
                <w:szCs w:val="17"/>
                <w:lang w:eastAsia="sl-SI"/>
              </w:rPr>
              <w:t>4.</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color w:val="000000"/>
                <w:sz w:val="17"/>
                <w:szCs w:val="17"/>
                <w:lang w:eastAsia="sl-SI"/>
              </w:rPr>
              <w:t>Amortizacija</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10,03</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18,62</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31,55</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41,90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52,55</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color w:val="000000"/>
                <w:sz w:val="17"/>
                <w:szCs w:val="17"/>
                <w:lang w:eastAsia="sl-SI"/>
              </w:rPr>
            </w:pPr>
            <w:r>
              <w:rPr>
                <w:rFonts w:ascii="Verdana" w:hAnsi="Verdana"/>
                <w:color w:val="000000"/>
                <w:sz w:val="17"/>
                <w:szCs w:val="17"/>
                <w:lang w:eastAsia="sl-SI"/>
              </w:rPr>
              <w:t>63,20</w:t>
            </w:r>
          </w:p>
        </w:tc>
      </w:tr>
      <w:tr w:rsidR="00695804" w:rsidTr="00695804">
        <w:trPr>
          <w:jc w:val="center"/>
        </w:trPr>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r>
              <w:rPr>
                <w:rFonts w:ascii="Verdana" w:hAnsi="Verdana"/>
                <w:b/>
                <w:bCs/>
                <w:color w:val="000000"/>
                <w:sz w:val="17"/>
                <w:szCs w:val="17"/>
                <w:lang w:eastAsia="sl-SI"/>
              </w:rPr>
              <w:t>Obračunske točke</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b/>
                <w:color w:val="000000"/>
                <w:sz w:val="17"/>
                <w:szCs w:val="17"/>
                <w:lang w:eastAsia="sl-SI"/>
              </w:rPr>
            </w:pPr>
            <w:r>
              <w:rPr>
                <w:rFonts w:ascii="Verdana" w:hAnsi="Verdana"/>
                <w:b/>
                <w:color w:val="000000"/>
                <w:sz w:val="17"/>
                <w:szCs w:val="17"/>
                <w:lang w:eastAsia="sl-SI"/>
              </w:rPr>
              <w:t>176,43</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b/>
                <w:color w:val="000000"/>
                <w:sz w:val="17"/>
                <w:szCs w:val="17"/>
                <w:lang w:eastAsia="sl-SI"/>
              </w:rPr>
            </w:pPr>
            <w:r>
              <w:rPr>
                <w:rFonts w:ascii="Verdana" w:hAnsi="Verdana"/>
                <w:b/>
                <w:color w:val="000000"/>
                <w:sz w:val="17"/>
                <w:szCs w:val="17"/>
                <w:lang w:eastAsia="sl-SI"/>
              </w:rPr>
              <w:t>199,50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b/>
                <w:color w:val="000000"/>
                <w:sz w:val="17"/>
                <w:szCs w:val="17"/>
                <w:lang w:eastAsia="sl-SI"/>
              </w:rPr>
            </w:pPr>
            <w:r>
              <w:rPr>
                <w:rFonts w:ascii="Verdana" w:hAnsi="Verdana"/>
                <w:b/>
                <w:color w:val="000000"/>
                <w:sz w:val="17"/>
                <w:szCs w:val="17"/>
                <w:lang w:eastAsia="sl-SI"/>
              </w:rPr>
              <w:t>228,86</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b/>
                <w:color w:val="000000"/>
                <w:sz w:val="17"/>
                <w:szCs w:val="17"/>
                <w:lang w:eastAsia="sl-SI"/>
              </w:rPr>
            </w:pPr>
            <w:r>
              <w:rPr>
                <w:rFonts w:ascii="Verdana" w:hAnsi="Verdana"/>
                <w:b/>
                <w:color w:val="000000"/>
                <w:sz w:val="17"/>
                <w:szCs w:val="17"/>
                <w:lang w:eastAsia="sl-SI"/>
              </w:rPr>
              <w:t>255,83</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b/>
                <w:color w:val="000000"/>
                <w:sz w:val="17"/>
                <w:szCs w:val="17"/>
                <w:lang w:eastAsia="sl-SI"/>
              </w:rPr>
            </w:pPr>
            <w:r>
              <w:rPr>
                <w:rFonts w:ascii="Verdana" w:hAnsi="Verdana"/>
                <w:b/>
                <w:color w:val="000000"/>
                <w:sz w:val="17"/>
                <w:szCs w:val="17"/>
                <w:lang w:eastAsia="sl-SI"/>
              </w:rPr>
              <w:t>282,35</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jc w:val="right"/>
              <w:rPr>
                <w:rFonts w:ascii="Verdana" w:hAnsi="Verdana"/>
                <w:b/>
                <w:color w:val="000000"/>
                <w:sz w:val="17"/>
                <w:szCs w:val="17"/>
                <w:lang w:eastAsia="sl-SI"/>
              </w:rPr>
            </w:pPr>
            <w:r>
              <w:rPr>
                <w:rFonts w:ascii="Verdana" w:hAnsi="Verdana"/>
                <w:b/>
                <w:color w:val="000000"/>
                <w:sz w:val="17"/>
                <w:szCs w:val="17"/>
                <w:lang w:eastAsia="sl-SI"/>
              </w:rPr>
              <w:t>308,85</w:t>
            </w:r>
          </w:p>
        </w:tc>
      </w:tr>
    </w:tbl>
    <w:p w:rsidR="00695804" w:rsidRDefault="00695804" w:rsidP="00695804">
      <w:pPr>
        <w:jc w:val="both"/>
        <w:rPr>
          <w:sz w:val="22"/>
          <w:szCs w:val="22"/>
        </w:rPr>
      </w:pPr>
    </w:p>
    <w:p w:rsidR="00695804" w:rsidRDefault="00695804" w:rsidP="00695804">
      <w:pPr>
        <w:jc w:val="both"/>
        <w:rPr>
          <w:sz w:val="22"/>
          <w:szCs w:val="22"/>
        </w:rPr>
      </w:pPr>
    </w:p>
    <w:p w:rsidR="00695804" w:rsidRDefault="00695804" w:rsidP="00695804">
      <w:pPr>
        <w:pStyle w:val="Odstavekseznama"/>
        <w:numPr>
          <w:ilvl w:val="0"/>
          <w:numId w:val="2"/>
        </w:numPr>
        <w:ind w:hanging="1080"/>
        <w:jc w:val="both"/>
        <w:rPr>
          <w:sz w:val="22"/>
          <w:szCs w:val="22"/>
        </w:rPr>
      </w:pPr>
      <w:r>
        <w:rPr>
          <w:sz w:val="22"/>
          <w:szCs w:val="22"/>
        </w:rPr>
        <w:t xml:space="preserve">za izvajalce </w:t>
      </w:r>
      <w:r>
        <w:rPr>
          <w:sz w:val="22"/>
          <w:szCs w:val="22"/>
        </w:rPr>
        <w:t>infrastrukturnih</w:t>
      </w:r>
      <w:r>
        <w:rPr>
          <w:sz w:val="22"/>
          <w:szCs w:val="22"/>
        </w:rPr>
        <w:t xml:space="preserve"> programov:</w:t>
      </w:r>
    </w:p>
    <w:p w:rsidR="00695804" w:rsidRDefault="00695804" w:rsidP="00695804">
      <w:pPr>
        <w:pStyle w:val="Odstavekseznama"/>
        <w:jc w:val="both"/>
        <w:rPr>
          <w:sz w:val="22"/>
          <w:szCs w:val="22"/>
        </w:rPr>
      </w:pPr>
      <w:r>
        <w:rPr>
          <w:rFonts w:ascii="Verdana" w:hAnsi="Verdana"/>
          <w:color w:val="000000"/>
          <w:sz w:val="17"/>
          <w:szCs w:val="17"/>
          <w:lang w:eastAsia="sl-SI"/>
        </w:rPr>
        <w:t> </w:t>
      </w:r>
    </w:p>
    <w:tbl>
      <w:tblPr>
        <w:tblW w:w="4250" w:type="pct"/>
        <w:jc w:val="center"/>
        <w:tblLook w:val="04A0" w:firstRow="1" w:lastRow="0" w:firstColumn="1" w:lastColumn="0" w:noHBand="0" w:noVBand="1"/>
      </w:tblPr>
      <w:tblGrid>
        <w:gridCol w:w="364"/>
        <w:gridCol w:w="2306"/>
        <w:gridCol w:w="838"/>
        <w:gridCol w:w="838"/>
        <w:gridCol w:w="838"/>
        <w:gridCol w:w="838"/>
        <w:gridCol w:w="838"/>
        <w:gridCol w:w="838"/>
      </w:tblGrid>
      <w:tr w:rsidR="00695804" w:rsidTr="00695804">
        <w:trPr>
          <w:jc w:val="center"/>
        </w:trPr>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rPr>
                <w:sz w:val="22"/>
                <w:szCs w:val="22"/>
              </w:rPr>
            </w:pP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spacing w:line="240" w:lineRule="auto"/>
              <w:jc w:val="center"/>
              <w:rPr>
                <w:rFonts w:ascii="Verdana" w:hAnsi="Verdana"/>
                <w:b/>
                <w:bCs/>
                <w:color w:val="000000"/>
                <w:sz w:val="17"/>
                <w:szCs w:val="17"/>
                <w:lang w:eastAsia="sl-SI"/>
              </w:rPr>
            </w:pPr>
            <w:r>
              <w:rPr>
                <w:rFonts w:ascii="Verdana" w:hAnsi="Verdana"/>
                <w:b/>
                <w:bCs/>
                <w:color w:val="000000"/>
                <w:sz w:val="17"/>
                <w:szCs w:val="17"/>
                <w:lang w:eastAsia="sl-SI"/>
              </w:rPr>
              <w:t>ELEMENT CENE</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spacing w:line="240" w:lineRule="auto"/>
              <w:jc w:val="center"/>
              <w:rPr>
                <w:rFonts w:ascii="Verdana" w:hAnsi="Verdana"/>
                <w:b/>
                <w:bCs/>
                <w:color w:val="000000"/>
                <w:sz w:val="17"/>
                <w:szCs w:val="17"/>
                <w:lang w:eastAsia="sl-SI"/>
              </w:rPr>
            </w:pPr>
            <w:r>
              <w:rPr>
                <w:rFonts w:ascii="Verdana" w:hAnsi="Verdana"/>
                <w:b/>
                <w:bCs/>
                <w:color w:val="000000"/>
                <w:sz w:val="17"/>
                <w:szCs w:val="17"/>
                <w:lang w:eastAsia="sl-SI"/>
              </w:rPr>
              <w:t>A</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spacing w:line="240" w:lineRule="auto"/>
              <w:jc w:val="center"/>
              <w:rPr>
                <w:rFonts w:ascii="Verdana" w:hAnsi="Verdana"/>
                <w:b/>
                <w:bCs/>
                <w:color w:val="000000"/>
                <w:sz w:val="17"/>
                <w:szCs w:val="17"/>
                <w:lang w:eastAsia="sl-SI"/>
              </w:rPr>
            </w:pPr>
            <w:r>
              <w:rPr>
                <w:rFonts w:ascii="Verdana" w:hAnsi="Verdana"/>
                <w:b/>
                <w:bCs/>
                <w:color w:val="000000"/>
                <w:sz w:val="17"/>
                <w:szCs w:val="17"/>
                <w:lang w:eastAsia="sl-SI"/>
              </w:rPr>
              <w:t>B</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spacing w:line="240" w:lineRule="auto"/>
              <w:jc w:val="center"/>
              <w:rPr>
                <w:rFonts w:ascii="Verdana" w:hAnsi="Verdana"/>
                <w:b/>
                <w:bCs/>
                <w:color w:val="000000"/>
                <w:sz w:val="17"/>
                <w:szCs w:val="17"/>
                <w:lang w:eastAsia="sl-SI"/>
              </w:rPr>
            </w:pPr>
            <w:r>
              <w:rPr>
                <w:rFonts w:ascii="Verdana" w:hAnsi="Verdana"/>
                <w:b/>
                <w:bCs/>
                <w:color w:val="000000"/>
                <w:sz w:val="17"/>
                <w:szCs w:val="17"/>
                <w:lang w:eastAsia="sl-SI"/>
              </w:rPr>
              <w:t>C</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spacing w:line="240" w:lineRule="auto"/>
              <w:jc w:val="center"/>
              <w:rPr>
                <w:rFonts w:ascii="Verdana" w:hAnsi="Verdana"/>
                <w:b/>
                <w:bCs/>
                <w:color w:val="000000"/>
                <w:sz w:val="17"/>
                <w:szCs w:val="17"/>
                <w:lang w:eastAsia="sl-SI"/>
              </w:rPr>
            </w:pPr>
            <w:r>
              <w:rPr>
                <w:rFonts w:ascii="Verdana" w:hAnsi="Verdana"/>
                <w:b/>
                <w:bCs/>
                <w:color w:val="000000"/>
                <w:sz w:val="17"/>
                <w:szCs w:val="17"/>
                <w:lang w:eastAsia="sl-SI"/>
              </w:rPr>
              <w:t>D</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spacing w:line="240" w:lineRule="auto"/>
              <w:jc w:val="center"/>
              <w:rPr>
                <w:rFonts w:ascii="Verdana" w:hAnsi="Verdana"/>
                <w:b/>
                <w:bCs/>
                <w:color w:val="000000"/>
                <w:sz w:val="17"/>
                <w:szCs w:val="17"/>
                <w:lang w:eastAsia="sl-SI"/>
              </w:rPr>
            </w:pPr>
            <w:r>
              <w:rPr>
                <w:rFonts w:ascii="Verdana" w:hAnsi="Verdana"/>
                <w:b/>
                <w:bCs/>
                <w:color w:val="000000"/>
                <w:sz w:val="17"/>
                <w:szCs w:val="17"/>
                <w:lang w:eastAsia="sl-SI"/>
              </w:rPr>
              <w:t>E</w:t>
            </w:r>
          </w:p>
        </w:tc>
        <w:tc>
          <w:tcPr>
            <w:tcW w:w="0" w:type="auto"/>
            <w:tcBorders>
              <w:top w:val="single" w:sz="6" w:space="0" w:color="FFFFFF"/>
              <w:left w:val="single" w:sz="6" w:space="0" w:color="FFFFFF"/>
              <w:bottom w:val="single" w:sz="6" w:space="0" w:color="FFFFFF"/>
              <w:right w:val="single" w:sz="6" w:space="0" w:color="FFFFFF"/>
            </w:tcBorders>
            <w:shd w:val="clear" w:color="auto" w:fill="BFD3EA"/>
            <w:tcMar>
              <w:top w:w="60" w:type="dxa"/>
              <w:left w:w="60" w:type="dxa"/>
              <w:bottom w:w="60" w:type="dxa"/>
              <w:right w:w="60" w:type="dxa"/>
            </w:tcMar>
            <w:hideMark/>
          </w:tcPr>
          <w:p w:rsidR="00695804" w:rsidRDefault="00695804">
            <w:pPr>
              <w:spacing w:line="240" w:lineRule="auto"/>
              <w:jc w:val="center"/>
              <w:rPr>
                <w:rFonts w:ascii="Verdana" w:hAnsi="Verdana"/>
                <w:b/>
                <w:bCs/>
                <w:color w:val="000000"/>
                <w:sz w:val="17"/>
                <w:szCs w:val="17"/>
                <w:lang w:eastAsia="sl-SI"/>
              </w:rPr>
            </w:pPr>
            <w:r>
              <w:rPr>
                <w:rFonts w:ascii="Verdana" w:hAnsi="Verdana"/>
                <w:b/>
                <w:bCs/>
                <w:color w:val="000000"/>
                <w:sz w:val="17"/>
                <w:szCs w:val="17"/>
                <w:lang w:eastAsia="sl-SI"/>
              </w:rPr>
              <w:t>F</w:t>
            </w:r>
          </w:p>
        </w:tc>
      </w:tr>
      <w:tr w:rsidR="00695804" w:rsidTr="00695804">
        <w:trPr>
          <w:jc w:val="center"/>
        </w:trPr>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rPr>
                <w:rFonts w:ascii="Verdana" w:hAnsi="Verdana"/>
                <w:color w:val="000000"/>
                <w:sz w:val="17"/>
                <w:szCs w:val="17"/>
                <w:lang w:eastAsia="sl-SI"/>
              </w:rPr>
            </w:pPr>
            <w:r>
              <w:rPr>
                <w:rFonts w:ascii="Verdana" w:hAnsi="Verdana"/>
                <w:color w:val="000000"/>
                <w:sz w:val="17"/>
                <w:szCs w:val="17"/>
                <w:lang w:eastAsia="sl-SI"/>
              </w:rPr>
              <w:t>1.</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rPr>
                <w:rFonts w:ascii="Verdana" w:hAnsi="Verdana"/>
                <w:color w:val="000000"/>
                <w:sz w:val="17"/>
                <w:szCs w:val="17"/>
                <w:lang w:eastAsia="sl-SI"/>
              </w:rPr>
            </w:pPr>
            <w:r>
              <w:rPr>
                <w:rFonts w:ascii="Verdana" w:hAnsi="Verdana"/>
                <w:color w:val="000000"/>
                <w:sz w:val="17"/>
                <w:szCs w:val="17"/>
                <w:lang w:eastAsia="sl-SI"/>
              </w:rPr>
              <w:t>Plača</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color w:val="000000"/>
                <w:sz w:val="17"/>
                <w:szCs w:val="17"/>
                <w:lang w:eastAsia="sl-SI"/>
              </w:rPr>
              <w:t>69,40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color w:val="000000"/>
                <w:sz w:val="17"/>
                <w:szCs w:val="17"/>
                <w:lang w:eastAsia="sl-SI"/>
              </w:rPr>
              <w:t>69,40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color w:val="000000"/>
                <w:sz w:val="17"/>
                <w:szCs w:val="17"/>
                <w:lang w:eastAsia="sl-SI"/>
              </w:rPr>
              <w:t>69,40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color w:val="000000"/>
                <w:sz w:val="17"/>
                <w:szCs w:val="17"/>
                <w:lang w:eastAsia="sl-SI"/>
              </w:rPr>
              <w:t>69,40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color w:val="000000"/>
                <w:sz w:val="17"/>
                <w:szCs w:val="17"/>
                <w:lang w:eastAsia="sl-SI"/>
              </w:rPr>
              <w:t>69,40</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color w:val="000000"/>
                <w:sz w:val="17"/>
                <w:szCs w:val="17"/>
                <w:lang w:eastAsia="sl-SI"/>
              </w:rPr>
              <w:t>69,40</w:t>
            </w:r>
          </w:p>
        </w:tc>
      </w:tr>
      <w:tr w:rsidR="00695804" w:rsidTr="00695804">
        <w:trPr>
          <w:jc w:val="center"/>
        </w:trPr>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rPr>
                <w:rFonts w:ascii="Verdana" w:hAnsi="Verdana"/>
                <w:color w:val="000000"/>
                <w:sz w:val="17"/>
                <w:szCs w:val="17"/>
                <w:lang w:eastAsia="sl-SI"/>
              </w:rPr>
            </w:pPr>
            <w:r>
              <w:rPr>
                <w:rFonts w:ascii="Verdana" w:hAnsi="Verdana"/>
                <w:color w:val="000000"/>
                <w:sz w:val="17"/>
                <w:szCs w:val="17"/>
                <w:lang w:eastAsia="sl-SI"/>
              </w:rPr>
              <w:t>2.</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rPr>
                <w:rFonts w:ascii="Verdana" w:hAnsi="Verdana"/>
                <w:color w:val="000000"/>
                <w:sz w:val="17"/>
                <w:szCs w:val="17"/>
                <w:lang w:eastAsia="sl-SI"/>
              </w:rPr>
            </w:pPr>
            <w:r>
              <w:rPr>
                <w:rFonts w:ascii="Verdana" w:hAnsi="Verdana"/>
                <w:color w:val="000000"/>
                <w:sz w:val="17"/>
                <w:szCs w:val="17"/>
                <w:lang w:eastAsia="sl-SI"/>
              </w:rPr>
              <w:t>Prispevki</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color w:val="000000"/>
                <w:sz w:val="17"/>
                <w:szCs w:val="17"/>
                <w:lang w:eastAsia="sl-SI"/>
              </w:rPr>
              <w:t>11,18</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color w:val="000000"/>
                <w:sz w:val="17"/>
                <w:szCs w:val="17"/>
                <w:lang w:eastAsia="sl-SI"/>
              </w:rPr>
              <w:t>11,18</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color w:val="000000"/>
                <w:sz w:val="17"/>
                <w:szCs w:val="17"/>
                <w:lang w:eastAsia="sl-SI"/>
              </w:rPr>
              <w:t>11,18</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color w:val="000000"/>
                <w:sz w:val="17"/>
                <w:szCs w:val="17"/>
                <w:lang w:eastAsia="sl-SI"/>
              </w:rPr>
              <w:t>11,18</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color w:val="000000"/>
                <w:sz w:val="17"/>
                <w:szCs w:val="17"/>
                <w:lang w:eastAsia="sl-SI"/>
              </w:rPr>
              <w:t>11,18</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color w:val="000000"/>
                <w:sz w:val="17"/>
                <w:szCs w:val="17"/>
                <w:lang w:eastAsia="sl-SI"/>
              </w:rPr>
              <w:t>11,18</w:t>
            </w:r>
          </w:p>
        </w:tc>
      </w:tr>
      <w:tr w:rsidR="00695804" w:rsidTr="00695804">
        <w:trPr>
          <w:jc w:val="center"/>
        </w:trPr>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rPr>
                <w:rFonts w:ascii="Verdana" w:hAnsi="Verdana"/>
                <w:color w:val="000000"/>
                <w:sz w:val="17"/>
                <w:szCs w:val="17"/>
                <w:lang w:eastAsia="sl-SI"/>
              </w:rPr>
            </w:pP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rPr>
                <w:rFonts w:ascii="Verdana" w:hAnsi="Verdana"/>
                <w:color w:val="000000"/>
                <w:sz w:val="17"/>
                <w:szCs w:val="17"/>
                <w:lang w:eastAsia="sl-SI"/>
              </w:rPr>
            </w:pPr>
            <w:r>
              <w:rPr>
                <w:rFonts w:ascii="Verdana" w:hAnsi="Verdana"/>
                <w:b/>
                <w:bCs/>
                <w:color w:val="000000"/>
                <w:sz w:val="17"/>
                <w:szCs w:val="17"/>
                <w:lang w:eastAsia="sl-SI"/>
              </w:rPr>
              <w:t>Obračunske točke</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b/>
                <w:bCs/>
                <w:color w:val="000000"/>
                <w:sz w:val="17"/>
                <w:szCs w:val="17"/>
                <w:lang w:eastAsia="sl-SI"/>
              </w:rPr>
              <w:t>80,58</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b/>
                <w:bCs/>
                <w:color w:val="000000"/>
                <w:sz w:val="17"/>
                <w:szCs w:val="17"/>
                <w:lang w:eastAsia="sl-SI"/>
              </w:rPr>
              <w:t>80,58</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b/>
                <w:bCs/>
                <w:color w:val="000000"/>
                <w:sz w:val="17"/>
                <w:szCs w:val="17"/>
                <w:lang w:eastAsia="sl-SI"/>
              </w:rPr>
              <w:t>80,58</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b/>
                <w:bCs/>
                <w:color w:val="000000"/>
                <w:sz w:val="17"/>
                <w:szCs w:val="17"/>
                <w:lang w:eastAsia="sl-SI"/>
              </w:rPr>
              <w:t>80,58</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b/>
                <w:bCs/>
                <w:color w:val="000000"/>
                <w:sz w:val="17"/>
                <w:szCs w:val="17"/>
                <w:lang w:eastAsia="sl-SI"/>
              </w:rPr>
              <w:t>80,58</w:t>
            </w:r>
          </w:p>
        </w:tc>
        <w:tc>
          <w:tcPr>
            <w:tcW w:w="0" w:type="auto"/>
            <w:tcBorders>
              <w:top w:val="single" w:sz="6" w:space="0" w:color="FFFFFF"/>
              <w:left w:val="single" w:sz="6" w:space="0" w:color="FFFFFF"/>
              <w:bottom w:val="single" w:sz="6" w:space="0" w:color="FFFFFF"/>
              <w:right w:val="single" w:sz="6" w:space="0" w:color="FFFFFF"/>
            </w:tcBorders>
            <w:shd w:val="clear" w:color="auto" w:fill="F1F1F1"/>
            <w:tcMar>
              <w:top w:w="60" w:type="dxa"/>
              <w:left w:w="60" w:type="dxa"/>
              <w:bottom w:w="60" w:type="dxa"/>
              <w:right w:w="60" w:type="dxa"/>
            </w:tcMar>
            <w:hideMark/>
          </w:tcPr>
          <w:p w:rsidR="00695804" w:rsidRDefault="00695804">
            <w:pPr>
              <w:spacing w:line="240" w:lineRule="auto"/>
              <w:jc w:val="right"/>
              <w:rPr>
                <w:rFonts w:ascii="Verdana" w:hAnsi="Verdana"/>
                <w:color w:val="000000"/>
                <w:sz w:val="17"/>
                <w:szCs w:val="17"/>
                <w:lang w:eastAsia="sl-SI"/>
              </w:rPr>
            </w:pPr>
            <w:r>
              <w:rPr>
                <w:rFonts w:ascii="Verdana" w:hAnsi="Verdana"/>
                <w:b/>
                <w:bCs/>
                <w:color w:val="000000"/>
                <w:sz w:val="17"/>
                <w:szCs w:val="17"/>
                <w:lang w:eastAsia="sl-SI"/>
              </w:rPr>
              <w:t>80,58</w:t>
            </w:r>
          </w:p>
        </w:tc>
      </w:tr>
    </w:tbl>
    <w:p w:rsidR="00695804" w:rsidRDefault="00695804" w:rsidP="00695804">
      <w:pPr>
        <w:jc w:val="both"/>
        <w:rPr>
          <w:sz w:val="22"/>
          <w:szCs w:val="22"/>
        </w:rPr>
      </w:pPr>
    </w:p>
    <w:p w:rsidR="00695804" w:rsidRDefault="00695804" w:rsidP="00695804">
      <w:pPr>
        <w:jc w:val="both"/>
        <w:rPr>
          <w:sz w:val="22"/>
          <w:szCs w:val="22"/>
        </w:rPr>
      </w:pPr>
      <w:r>
        <w:rPr>
          <w:sz w:val="22"/>
          <w:szCs w:val="22"/>
        </w:rPr>
        <w:t>«.</w:t>
      </w:r>
    </w:p>
    <w:p w:rsidR="00467BCD" w:rsidRDefault="00467BCD" w:rsidP="00467BCD">
      <w:pPr>
        <w:jc w:val="both"/>
        <w:rPr>
          <w:sz w:val="22"/>
          <w:szCs w:val="22"/>
        </w:rPr>
      </w:pPr>
      <w:bookmarkStart w:id="0" w:name="_GoBack"/>
      <w:bookmarkEnd w:id="0"/>
    </w:p>
    <w:p w:rsidR="00467BCD" w:rsidRDefault="00467BCD" w:rsidP="00467BCD">
      <w:pPr>
        <w:jc w:val="both"/>
        <w:rPr>
          <w:sz w:val="22"/>
          <w:szCs w:val="22"/>
        </w:rPr>
      </w:pPr>
    </w:p>
    <w:p w:rsidR="00467BCD" w:rsidRDefault="00467BCD" w:rsidP="00467BCD">
      <w:pPr>
        <w:jc w:val="center"/>
        <w:rPr>
          <w:sz w:val="22"/>
          <w:szCs w:val="22"/>
        </w:rPr>
      </w:pPr>
      <w:r>
        <w:rPr>
          <w:sz w:val="22"/>
          <w:szCs w:val="22"/>
        </w:rPr>
        <w:t>PREHODNA IN KONČNA DOLOČBA</w:t>
      </w:r>
    </w:p>
    <w:p w:rsidR="00467BCD" w:rsidRDefault="00467BCD" w:rsidP="00467BCD">
      <w:pPr>
        <w:jc w:val="center"/>
        <w:rPr>
          <w:sz w:val="22"/>
          <w:szCs w:val="22"/>
        </w:rPr>
      </w:pPr>
    </w:p>
    <w:p w:rsidR="00467BCD" w:rsidRDefault="00467BCD" w:rsidP="00467BCD">
      <w:pPr>
        <w:jc w:val="center"/>
        <w:rPr>
          <w:sz w:val="22"/>
          <w:szCs w:val="22"/>
        </w:rPr>
      </w:pPr>
      <w:r>
        <w:rPr>
          <w:sz w:val="22"/>
          <w:szCs w:val="22"/>
        </w:rPr>
        <w:t>5. člen</w:t>
      </w:r>
    </w:p>
    <w:p w:rsidR="00467BCD" w:rsidRDefault="00467BCD" w:rsidP="00467BCD">
      <w:pPr>
        <w:jc w:val="center"/>
        <w:rPr>
          <w:sz w:val="22"/>
          <w:szCs w:val="22"/>
        </w:rPr>
      </w:pPr>
    </w:p>
    <w:p w:rsidR="00467BCD" w:rsidRDefault="00467BCD" w:rsidP="00467BCD">
      <w:pPr>
        <w:jc w:val="both"/>
        <w:rPr>
          <w:sz w:val="22"/>
          <w:szCs w:val="22"/>
        </w:rPr>
      </w:pPr>
      <w:r>
        <w:rPr>
          <w:sz w:val="22"/>
          <w:szCs w:val="22"/>
        </w:rPr>
        <w:t xml:space="preserve">Ne glede na določbo drugega stavka petega odstavka 14. člena lahko izvajalci za leto 2018 uveljavljajo spremembo cenovne kategorije raziskovalnega programa oziroma raziskovalnega projekta. </w:t>
      </w:r>
    </w:p>
    <w:p w:rsidR="00467BCD" w:rsidRDefault="00467BCD" w:rsidP="00467BCD">
      <w:pPr>
        <w:jc w:val="both"/>
        <w:rPr>
          <w:sz w:val="22"/>
          <w:szCs w:val="22"/>
        </w:rPr>
      </w:pPr>
    </w:p>
    <w:p w:rsidR="00467BCD" w:rsidRDefault="00467BCD" w:rsidP="00467BCD">
      <w:pPr>
        <w:jc w:val="center"/>
        <w:rPr>
          <w:sz w:val="22"/>
          <w:szCs w:val="22"/>
        </w:rPr>
      </w:pPr>
    </w:p>
    <w:p w:rsidR="00467BCD" w:rsidRDefault="00467BCD" w:rsidP="00467BCD">
      <w:pPr>
        <w:jc w:val="center"/>
        <w:rPr>
          <w:sz w:val="22"/>
          <w:szCs w:val="22"/>
        </w:rPr>
      </w:pPr>
      <w:r>
        <w:rPr>
          <w:sz w:val="22"/>
          <w:szCs w:val="22"/>
        </w:rPr>
        <w:t>6. člen</w:t>
      </w:r>
    </w:p>
    <w:p w:rsidR="00467BCD" w:rsidRDefault="00467BCD" w:rsidP="00467BCD">
      <w:pPr>
        <w:spacing w:before="240"/>
        <w:rPr>
          <w:sz w:val="22"/>
          <w:szCs w:val="22"/>
        </w:rPr>
      </w:pPr>
      <w:r>
        <w:rPr>
          <w:sz w:val="22"/>
          <w:szCs w:val="22"/>
        </w:rPr>
        <w:t>Ta uredba začne veljati naslednji dan po objavi v Uradnem listu Republike Slovenije.</w:t>
      </w:r>
    </w:p>
    <w:p w:rsidR="00467BCD" w:rsidRDefault="00467BCD" w:rsidP="00467BCD">
      <w:pPr>
        <w:spacing w:before="240" w:line="240" w:lineRule="auto"/>
        <w:rPr>
          <w:rFonts w:cs="Arial"/>
          <w:sz w:val="22"/>
          <w:szCs w:val="22"/>
          <w:lang w:eastAsia="sl-SI"/>
        </w:rPr>
      </w:pPr>
    </w:p>
    <w:p w:rsidR="00467BCD" w:rsidRDefault="00467BCD" w:rsidP="00467BCD">
      <w:pPr>
        <w:spacing w:before="240" w:line="240" w:lineRule="auto"/>
        <w:rPr>
          <w:rFonts w:cs="Arial"/>
          <w:sz w:val="22"/>
          <w:szCs w:val="22"/>
          <w:lang w:eastAsia="sl-SI"/>
        </w:rPr>
      </w:pPr>
      <w:r>
        <w:rPr>
          <w:rFonts w:cs="Arial"/>
          <w:sz w:val="22"/>
          <w:szCs w:val="22"/>
          <w:lang w:eastAsia="sl-SI"/>
        </w:rPr>
        <w:t xml:space="preserve">Št. </w:t>
      </w:r>
    </w:p>
    <w:p w:rsidR="00467BCD" w:rsidRDefault="00467BCD" w:rsidP="00467BCD">
      <w:pPr>
        <w:spacing w:before="240" w:line="240" w:lineRule="auto"/>
        <w:rPr>
          <w:rFonts w:cs="Arial"/>
          <w:sz w:val="22"/>
          <w:szCs w:val="22"/>
          <w:lang w:eastAsia="sl-SI"/>
        </w:rPr>
      </w:pPr>
      <w:r>
        <w:rPr>
          <w:rFonts w:cs="Arial"/>
          <w:sz w:val="22"/>
          <w:szCs w:val="22"/>
          <w:lang w:eastAsia="sl-SI"/>
        </w:rPr>
        <w:t>Ljubljana, …</w:t>
      </w:r>
    </w:p>
    <w:p w:rsidR="00467BCD" w:rsidRDefault="00467BCD" w:rsidP="00467BCD">
      <w:pPr>
        <w:spacing w:before="240" w:line="240" w:lineRule="auto"/>
        <w:rPr>
          <w:rFonts w:cs="Arial"/>
          <w:sz w:val="22"/>
          <w:szCs w:val="22"/>
          <w:lang w:eastAsia="sl-SI"/>
        </w:rPr>
      </w:pPr>
      <w:r>
        <w:rPr>
          <w:rFonts w:cs="Arial"/>
          <w:iCs/>
          <w:sz w:val="22"/>
          <w:szCs w:val="22"/>
        </w:rPr>
        <w:t xml:space="preserve">EVA </w:t>
      </w:r>
      <w:r>
        <w:rPr>
          <w:rFonts w:eastAsiaTheme="minorHAnsi" w:cs="Arial"/>
          <w:color w:val="000000"/>
          <w:sz w:val="22"/>
          <w:szCs w:val="22"/>
        </w:rPr>
        <w:t>2017-3330-0077</w:t>
      </w:r>
    </w:p>
    <w:p w:rsidR="00467BCD" w:rsidRDefault="00467BCD" w:rsidP="00467BCD">
      <w:pPr>
        <w:widowControl w:val="0"/>
        <w:autoSpaceDE w:val="0"/>
        <w:autoSpaceDN w:val="0"/>
        <w:adjustRightInd w:val="0"/>
        <w:spacing w:line="240" w:lineRule="exact"/>
        <w:ind w:left="23"/>
        <w:jc w:val="center"/>
        <w:rPr>
          <w:rFonts w:cs="Arial"/>
          <w:sz w:val="22"/>
          <w:szCs w:val="22"/>
        </w:rPr>
      </w:pPr>
      <w:r>
        <w:rPr>
          <w:rFonts w:cs="Arial"/>
          <w:sz w:val="22"/>
          <w:szCs w:val="22"/>
          <w:lang w:eastAsia="sl-SI"/>
        </w:rPr>
        <w:t xml:space="preserve">                                                                     </w:t>
      </w:r>
      <w:r>
        <w:rPr>
          <w:rFonts w:cs="Arial"/>
          <w:sz w:val="22"/>
          <w:szCs w:val="22"/>
        </w:rPr>
        <w:t>Vlada Republike Slovenije</w:t>
      </w:r>
    </w:p>
    <w:p w:rsidR="00467BCD" w:rsidRDefault="00467BCD" w:rsidP="00467BCD">
      <w:pPr>
        <w:widowControl w:val="0"/>
        <w:tabs>
          <w:tab w:val="left" w:pos="7943"/>
        </w:tabs>
        <w:autoSpaceDE w:val="0"/>
        <w:autoSpaceDN w:val="0"/>
        <w:adjustRightInd w:val="0"/>
        <w:spacing w:line="240" w:lineRule="exact"/>
        <w:jc w:val="center"/>
        <w:rPr>
          <w:rFonts w:cs="Arial"/>
          <w:bCs/>
          <w:sz w:val="22"/>
          <w:szCs w:val="22"/>
        </w:rPr>
      </w:pPr>
      <w:r>
        <w:rPr>
          <w:rFonts w:cs="Arial"/>
          <w:bCs/>
          <w:sz w:val="22"/>
          <w:szCs w:val="22"/>
        </w:rPr>
        <w:t xml:space="preserve">                                                                         dr. Miroslav Cerar</w:t>
      </w:r>
    </w:p>
    <w:p w:rsidR="00467BCD" w:rsidRDefault="00467BCD" w:rsidP="00467BCD">
      <w:pPr>
        <w:spacing w:line="240" w:lineRule="auto"/>
        <w:jc w:val="center"/>
        <w:rPr>
          <w:rFonts w:cs="Arial"/>
          <w:sz w:val="22"/>
          <w:szCs w:val="22"/>
          <w:lang w:eastAsia="sl-SI"/>
        </w:rPr>
      </w:pPr>
      <w:r>
        <w:rPr>
          <w:rFonts w:cs="Arial"/>
          <w:sz w:val="22"/>
          <w:szCs w:val="22"/>
          <w:lang w:eastAsia="sl-SI"/>
        </w:rPr>
        <w:t xml:space="preserve">                                                                   predsednik</w:t>
      </w:r>
    </w:p>
    <w:p w:rsidR="005F7D80" w:rsidRDefault="005F7D80" w:rsidP="005F7D80">
      <w:pPr>
        <w:spacing w:after="160" w:line="256" w:lineRule="auto"/>
      </w:pPr>
      <w:r>
        <w:br w:type="page"/>
      </w:r>
    </w:p>
    <w:p w:rsidR="005F7D80" w:rsidRDefault="005F7D80" w:rsidP="005F7D80">
      <w:pPr>
        <w:tabs>
          <w:tab w:val="left" w:pos="709"/>
        </w:tabs>
        <w:jc w:val="both"/>
      </w:pPr>
    </w:p>
    <w:p w:rsidR="005F7D80" w:rsidRDefault="005F7D80" w:rsidP="005F7D80">
      <w:pPr>
        <w:spacing w:before="240" w:line="240" w:lineRule="auto"/>
        <w:jc w:val="center"/>
        <w:rPr>
          <w:rFonts w:cs="Arial"/>
          <w:b/>
          <w:bCs/>
          <w:noProof/>
          <w:sz w:val="22"/>
          <w:szCs w:val="22"/>
          <w:lang w:eastAsia="sl-SI"/>
        </w:rPr>
      </w:pPr>
      <w:r>
        <w:rPr>
          <w:rFonts w:cs="Arial"/>
          <w:b/>
          <w:noProof/>
          <w:color w:val="000000"/>
          <w:sz w:val="22"/>
          <w:szCs w:val="22"/>
          <w:lang w:eastAsia="sl-SI"/>
        </w:rPr>
        <w:t>OBRAZLOŽITEV</w:t>
      </w:r>
      <w:r>
        <w:rPr>
          <w:rFonts w:cs="Arial"/>
          <w:b/>
          <w:bCs/>
          <w:noProof/>
          <w:sz w:val="22"/>
          <w:szCs w:val="22"/>
          <w:lang w:eastAsia="sl-SI"/>
        </w:rPr>
        <w:t xml:space="preserve"> </w:t>
      </w:r>
    </w:p>
    <w:p w:rsidR="005F7D80" w:rsidRDefault="005F7D80" w:rsidP="005F7D80">
      <w:pPr>
        <w:pStyle w:val="odstavek1"/>
        <w:ind w:firstLine="0"/>
      </w:pPr>
      <w:r>
        <w:t xml:space="preserve">Zakon o raziskovalni in razvojni dejavnosti (Uradni list RS, št. 22/06 – uradno prečiščeno besedilo, 61/06 – ZDru-1, 112/07, 9/11 in 57/12 – ZPOP-1A) v določbah 13. člena določa, da </w:t>
      </w:r>
      <w:r>
        <w:rPr>
          <w:lang w:val="x-none"/>
        </w:rPr>
        <w:t>normative in standarde ter merila za določanje sredstev za financiranje Raziskovalne in inovacijske strategije Slovenije po tem zakonu sprejme Vlada Republike Slovenije na predlog ministra, pristojnega za znanost, oziroma ministra, pristojnega za tehnologijo. Z normativi in standardi se podrobneje določi pogoje, kriterije, merila za določitev obsega sredstev za izvedbo raziskovalnih in razvojnih programov in projektov, ki se izvajajo v okviru Raziskovalne in inovacijske strategije Slovenije in spremljanje ter poraba proračunskih sredstev.</w:t>
      </w:r>
    </w:p>
    <w:p w:rsidR="005F7D80" w:rsidRDefault="005F7D80" w:rsidP="005F7D80">
      <w:pPr>
        <w:spacing w:line="240" w:lineRule="auto"/>
        <w:jc w:val="both"/>
        <w:rPr>
          <w:sz w:val="22"/>
          <w:szCs w:val="22"/>
        </w:rPr>
      </w:pPr>
    </w:p>
    <w:p w:rsidR="005F7D80" w:rsidRDefault="005F7D80" w:rsidP="005F7D80">
      <w:pPr>
        <w:spacing w:line="240" w:lineRule="auto"/>
        <w:jc w:val="both"/>
        <w:rPr>
          <w:sz w:val="22"/>
          <w:szCs w:val="22"/>
          <w:lang w:val="x-none"/>
        </w:rPr>
      </w:pPr>
      <w:r>
        <w:rPr>
          <w:sz w:val="22"/>
          <w:szCs w:val="22"/>
        </w:rPr>
        <w:t xml:space="preserve">Uredba o normativih in standardih za določanje sredstev za izvajanje raziskovalne dejavnosti, financirane iz Proračuna Republike Slovenije (Uradni list RS, št. 103/11, 56/12, 15/14, 103/15 in 27/17; v nadaljevanju: uredba), ki jo je sprejela Vlada Republike Slovenije, </w:t>
      </w:r>
      <w:r>
        <w:rPr>
          <w:sz w:val="22"/>
          <w:szCs w:val="22"/>
          <w:lang w:val="x-none"/>
        </w:rPr>
        <w:t>določa normative in standarde, kot podlago za določitev obsega sredstev za izvajanje raziskovalne dejavnosti v obliki raziskovalnih programov, raziskovalnih projektov, infrastrukturnih programov, programa usposabljanja mladih raziskovalcev, ustanoviteljskih obveznosti in ostalih povračil v zvezi z delom in drugih osebnih prejemkov, katerih izvaja</w:t>
      </w:r>
      <w:r>
        <w:rPr>
          <w:sz w:val="22"/>
          <w:szCs w:val="22"/>
        </w:rPr>
        <w:t>n</w:t>
      </w:r>
      <w:r>
        <w:rPr>
          <w:sz w:val="22"/>
          <w:szCs w:val="22"/>
          <w:lang w:val="x-none"/>
        </w:rPr>
        <w:t>je se financira iz Proračuna Republike Slovenije, za določitev cene ekvivalenta polne zaposlitve ter za spremljanje in porabo sredstev proračuna.</w:t>
      </w:r>
    </w:p>
    <w:p w:rsidR="005F7D80" w:rsidRDefault="005F7D80" w:rsidP="005F7D80">
      <w:pPr>
        <w:spacing w:line="240" w:lineRule="auto"/>
        <w:jc w:val="both"/>
        <w:rPr>
          <w:sz w:val="22"/>
          <w:szCs w:val="22"/>
          <w:lang w:val="x-none"/>
        </w:rPr>
      </w:pPr>
    </w:p>
    <w:p w:rsidR="005F7D80" w:rsidRDefault="005F7D80" w:rsidP="005F7D80">
      <w:pPr>
        <w:jc w:val="both"/>
        <w:rPr>
          <w:sz w:val="22"/>
          <w:szCs w:val="22"/>
        </w:rPr>
      </w:pPr>
      <w:r>
        <w:rPr>
          <w:rFonts w:cs="Arial"/>
          <w:bCs/>
          <w:noProof/>
          <w:sz w:val="22"/>
          <w:szCs w:val="22"/>
          <w:lang w:eastAsia="sl-SI"/>
        </w:rPr>
        <w:t>Javna agencija za raziskovalno dejavnost Republike Slovenije (v nadaljevanju: ARRS) je z dopisom</w:t>
      </w:r>
      <w:r w:rsidR="00D43458">
        <w:rPr>
          <w:rFonts w:cs="Arial"/>
          <w:bCs/>
          <w:noProof/>
          <w:sz w:val="22"/>
          <w:szCs w:val="22"/>
          <w:lang w:eastAsia="sl-SI"/>
        </w:rPr>
        <w:t>a</w:t>
      </w:r>
      <w:r>
        <w:rPr>
          <w:rFonts w:cs="Arial"/>
          <w:bCs/>
          <w:noProof/>
          <w:sz w:val="22"/>
          <w:szCs w:val="22"/>
          <w:lang w:eastAsia="sl-SI"/>
        </w:rPr>
        <w:t xml:space="preserve"> št. 007-2/2017-11 z dne 12.12.2017 </w:t>
      </w:r>
      <w:r w:rsidR="00D43458">
        <w:rPr>
          <w:rFonts w:cs="Arial"/>
          <w:bCs/>
          <w:noProof/>
          <w:sz w:val="22"/>
          <w:szCs w:val="22"/>
          <w:lang w:eastAsia="sl-SI"/>
        </w:rPr>
        <w:t>in št. 007-2/2017-16 z dne 18</w:t>
      </w:r>
      <w:r w:rsidR="00D43458">
        <w:rPr>
          <w:rFonts w:cs="Arial"/>
          <w:bCs/>
          <w:noProof/>
          <w:sz w:val="22"/>
          <w:szCs w:val="22"/>
          <w:lang w:eastAsia="sl-SI"/>
        </w:rPr>
        <w:t xml:space="preserve">.12.2017 </w:t>
      </w:r>
      <w:r>
        <w:rPr>
          <w:rFonts w:cs="Arial"/>
          <w:bCs/>
          <w:noProof/>
          <w:sz w:val="22"/>
          <w:szCs w:val="22"/>
          <w:lang w:eastAsia="sl-SI"/>
        </w:rPr>
        <w:t xml:space="preserve">na Ministrstvo za izobraževanje, znanost in šport posredovala predlog </w:t>
      </w:r>
      <w:r>
        <w:rPr>
          <w:rFonts w:cs="Arial"/>
          <w:bCs/>
          <w:sz w:val="22"/>
          <w:szCs w:val="22"/>
          <w:lang w:eastAsia="sl-SI"/>
        </w:rPr>
        <w:t>sprememb in dopolnitev uredbe, z zaprosilom za posredovanje v sprejem Vladi Republike Slovenije.</w:t>
      </w:r>
    </w:p>
    <w:p w:rsidR="005F7D80" w:rsidRDefault="005F7D80" w:rsidP="005F7D80">
      <w:pPr>
        <w:jc w:val="both"/>
        <w:rPr>
          <w:sz w:val="22"/>
          <w:szCs w:val="22"/>
        </w:rPr>
      </w:pPr>
    </w:p>
    <w:p w:rsidR="005F7D80" w:rsidRDefault="005F7D80" w:rsidP="005F7D80">
      <w:pPr>
        <w:jc w:val="both"/>
        <w:rPr>
          <w:sz w:val="22"/>
          <w:szCs w:val="22"/>
        </w:rPr>
      </w:pPr>
      <w:r>
        <w:rPr>
          <w:sz w:val="22"/>
          <w:szCs w:val="22"/>
        </w:rPr>
        <w:t xml:space="preserve">Predlagane spremembe in dopolnitve uredbe obsegajo: </w:t>
      </w:r>
    </w:p>
    <w:p w:rsidR="005F7D80" w:rsidRDefault="005F7D80" w:rsidP="005F7D80">
      <w:pPr>
        <w:jc w:val="both"/>
        <w:rPr>
          <w:sz w:val="22"/>
          <w:szCs w:val="22"/>
        </w:rPr>
      </w:pPr>
    </w:p>
    <w:p w:rsidR="005F7D80" w:rsidRDefault="005F7D80" w:rsidP="005F7D80">
      <w:pPr>
        <w:spacing w:line="240" w:lineRule="auto"/>
        <w:jc w:val="both"/>
        <w:rPr>
          <w:sz w:val="22"/>
          <w:szCs w:val="22"/>
        </w:rPr>
      </w:pPr>
      <w:r>
        <w:rPr>
          <w:sz w:val="22"/>
          <w:szCs w:val="22"/>
        </w:rPr>
        <w:t xml:space="preserve">1. </w:t>
      </w:r>
      <w:r>
        <w:rPr>
          <w:b/>
          <w:sz w:val="22"/>
          <w:szCs w:val="22"/>
        </w:rPr>
        <w:t>Spremembo besedila v 17., 18. in 19. členu uredbe, vezano na izračun povprečne plače za financiranje, zvišanje napredovanj iz dveh na tri razrede</w:t>
      </w:r>
    </w:p>
    <w:p w:rsidR="005F7D80" w:rsidRDefault="005F7D80" w:rsidP="005F7D80">
      <w:pPr>
        <w:pStyle w:val="Odstavekseznama"/>
        <w:jc w:val="both"/>
        <w:rPr>
          <w:sz w:val="22"/>
          <w:szCs w:val="22"/>
        </w:rPr>
      </w:pPr>
    </w:p>
    <w:p w:rsidR="005F7D80" w:rsidRDefault="005F7D80" w:rsidP="005F7D80">
      <w:pPr>
        <w:jc w:val="both"/>
        <w:rPr>
          <w:sz w:val="22"/>
          <w:szCs w:val="22"/>
        </w:rPr>
      </w:pPr>
      <w:r>
        <w:rPr>
          <w:sz w:val="22"/>
          <w:szCs w:val="22"/>
        </w:rPr>
        <w:t xml:space="preserve">Pri izračunu povprečne cene ekvivalenta polne zaposlitve se kot </w:t>
      </w:r>
      <w:proofErr w:type="spellStart"/>
      <w:r>
        <w:rPr>
          <w:sz w:val="22"/>
          <w:szCs w:val="22"/>
        </w:rPr>
        <w:t>kalkulativni</w:t>
      </w:r>
      <w:proofErr w:type="spellEnd"/>
      <w:r>
        <w:rPr>
          <w:sz w:val="22"/>
          <w:szCs w:val="22"/>
        </w:rPr>
        <w:t xml:space="preserve"> element upoštevajo povprečne plače raziskovalcev, vključenih v raziskovalne programe, raziskovalne projekte in infrastrukturne programe. </w:t>
      </w:r>
    </w:p>
    <w:p w:rsidR="005F7D80" w:rsidRDefault="005F7D80" w:rsidP="005F7D80">
      <w:pPr>
        <w:pStyle w:val="Odstavekseznama"/>
        <w:jc w:val="both"/>
        <w:rPr>
          <w:sz w:val="22"/>
          <w:szCs w:val="22"/>
        </w:rPr>
      </w:pPr>
    </w:p>
    <w:p w:rsidR="005F7D80" w:rsidRDefault="005F7D80" w:rsidP="005F7D80">
      <w:pPr>
        <w:jc w:val="both"/>
        <w:rPr>
          <w:sz w:val="22"/>
          <w:szCs w:val="22"/>
        </w:rPr>
      </w:pPr>
      <w:r>
        <w:rPr>
          <w:sz w:val="22"/>
          <w:szCs w:val="22"/>
        </w:rPr>
        <w:t xml:space="preserve">V obstoječi uredbi je določeno, da se pri izračunu povprečne plače za financiranje v tekočem letu upošteva struktura izvajalcev raziskovalnih programov, raziskovalnih projektov in infrastrukturnih programov v preteklem letu. V izračunu se upošteva naziv raziskovalcev in napredovanje za dva razreda v okviru naziva, dovoljen odstotek mase za izplačilo delovne uspešnosti in napredovanj, ki velja za zaposlene v javnem sektorju, ter povprečno delovno dobo raziskovalcev, vključenih v raziskovalne programe, raziskovalne projekte in infrastrukturne programe. </w:t>
      </w:r>
    </w:p>
    <w:p w:rsidR="005F7D80" w:rsidRDefault="005F7D80" w:rsidP="005F7D80">
      <w:pPr>
        <w:pStyle w:val="Odstavekseznama"/>
        <w:jc w:val="both"/>
        <w:rPr>
          <w:sz w:val="22"/>
          <w:szCs w:val="22"/>
        </w:rPr>
      </w:pPr>
    </w:p>
    <w:p w:rsidR="005F7D80" w:rsidRDefault="005F7D80" w:rsidP="005F7D80">
      <w:pPr>
        <w:jc w:val="both"/>
        <w:rPr>
          <w:sz w:val="22"/>
          <w:szCs w:val="22"/>
        </w:rPr>
      </w:pPr>
      <w:r>
        <w:rPr>
          <w:sz w:val="22"/>
          <w:szCs w:val="22"/>
        </w:rPr>
        <w:t xml:space="preserve">Pogoji, kvalitativni in  kvantitativni kazalniki ter merila in postopek za izvolitev raziskovalcev v raziskovalne nazive v raziskovalnih organizacijah so določeni v Pravilniku (ARRS) o raziskovalnih nazivih (Uradni list RS, št. 126/08, 41/09, 55/11, 80/12, 4/13, 5/17 in 31/17). </w:t>
      </w:r>
    </w:p>
    <w:p w:rsidR="005F7D80" w:rsidRDefault="005F7D80" w:rsidP="005F7D80">
      <w:pPr>
        <w:pStyle w:val="Odstavekseznama"/>
        <w:jc w:val="both"/>
        <w:rPr>
          <w:sz w:val="22"/>
          <w:szCs w:val="22"/>
        </w:rPr>
      </w:pPr>
    </w:p>
    <w:p w:rsidR="005F7D80" w:rsidRDefault="005F7D80" w:rsidP="005F7D80">
      <w:pPr>
        <w:jc w:val="both"/>
        <w:rPr>
          <w:sz w:val="22"/>
          <w:szCs w:val="22"/>
        </w:rPr>
      </w:pPr>
      <w:r>
        <w:rPr>
          <w:sz w:val="22"/>
          <w:szCs w:val="22"/>
        </w:rPr>
        <w:t xml:space="preserve">ARRS na podlagi podatkov o dodeljenih raziskovalnih nazivih ter z upoštevanjem podatkov o delovnih mestih in osnovnih plačnih razredih plačne skupine H (raziskovalna dejavnost) in delno plačne skupine D (šifri delovnega mesta D010001 in D0190001) iz Kataloga funkcij, delovnih mest in nazivov izračuna povprečne plače tako, da skladno z uredbo osnovni plačni razred posameznega delovnega mesta poveča za dva razreda. ARRS je v mesecu oktobru </w:t>
      </w:r>
      <w:r>
        <w:rPr>
          <w:sz w:val="22"/>
          <w:szCs w:val="22"/>
        </w:rPr>
        <w:lastRenderedPageBreak/>
        <w:t xml:space="preserve">Ministrstvo za javno upravo zaprosila za posredovanje uradnih podatkov o dejanskih plačilnih razredih zaposlenih v raziskovalni dejavnosti in visokošolskem sektorju. Posredovane podatke je ARRS analizirala in ugotovila, da bi bilo povečanje osnovnih plačnih razredov za tri razrede glede na osnovi razred, bližje dejanskemu povprečnemu številu napredovanj pri zaposlenih v raziskovalni dejavnosti. </w:t>
      </w:r>
    </w:p>
    <w:p w:rsidR="005F7D80" w:rsidRDefault="005F7D80" w:rsidP="005F7D80">
      <w:pPr>
        <w:pStyle w:val="Odstavekseznama"/>
        <w:jc w:val="both"/>
        <w:rPr>
          <w:sz w:val="22"/>
          <w:szCs w:val="22"/>
        </w:rPr>
      </w:pPr>
    </w:p>
    <w:p w:rsidR="005F7D80" w:rsidRDefault="005F7D80" w:rsidP="005F7D80">
      <w:pPr>
        <w:jc w:val="both"/>
        <w:rPr>
          <w:sz w:val="22"/>
          <w:szCs w:val="22"/>
        </w:rPr>
      </w:pPr>
      <w:r>
        <w:rPr>
          <w:sz w:val="22"/>
          <w:szCs w:val="22"/>
        </w:rPr>
        <w:t xml:space="preserve">Finančni učinek predlagane spremembe Uredbe v členih 17., 18. in 19. je ocenjen na 2.107.000 evrov. Izračun finančnih posledic spremembe temelji na sistemu izračuna povprečne plače v ceni ekvivalenta polne zaposlitve. Pri izračunu je ARRS izhajala iz dejanskih podatkov o nazivih in obsegih raziskovalcev, vključenih v potekajoče raziskovalne programe, raziskovalne projekte in infrastrukturne projekte.  </w:t>
      </w:r>
    </w:p>
    <w:p w:rsidR="005F7D80" w:rsidRDefault="005F7D80" w:rsidP="005F7D80">
      <w:pPr>
        <w:pStyle w:val="Odstavekseznama"/>
        <w:jc w:val="both"/>
        <w:rPr>
          <w:sz w:val="22"/>
          <w:szCs w:val="22"/>
        </w:rPr>
      </w:pPr>
    </w:p>
    <w:p w:rsidR="005F7D80" w:rsidRDefault="005F7D80" w:rsidP="005F7D80">
      <w:pPr>
        <w:pStyle w:val="Odstavekseznama"/>
        <w:jc w:val="both"/>
        <w:rPr>
          <w:b/>
          <w:sz w:val="22"/>
          <w:szCs w:val="22"/>
        </w:rPr>
      </w:pPr>
      <w:r>
        <w:rPr>
          <w:b/>
          <w:sz w:val="22"/>
          <w:szCs w:val="22"/>
        </w:rPr>
        <w:t xml:space="preserve"> </w:t>
      </w:r>
    </w:p>
    <w:p w:rsidR="005F7D80" w:rsidRDefault="005F7D80" w:rsidP="005F7D80">
      <w:pPr>
        <w:spacing w:line="240" w:lineRule="auto"/>
        <w:jc w:val="both"/>
        <w:rPr>
          <w:sz w:val="22"/>
          <w:szCs w:val="22"/>
        </w:rPr>
      </w:pPr>
      <w:r>
        <w:rPr>
          <w:sz w:val="22"/>
          <w:szCs w:val="22"/>
        </w:rPr>
        <w:t xml:space="preserve">2. </w:t>
      </w:r>
      <w:r>
        <w:rPr>
          <w:b/>
          <w:sz w:val="22"/>
          <w:szCs w:val="22"/>
        </w:rPr>
        <w:t>Zvišanje števila točk pri elementu cene za materialne stroške in storitve ter amortizacijo ter skupnih obračunskih točk</w:t>
      </w:r>
    </w:p>
    <w:p w:rsidR="005F7D80" w:rsidRDefault="005F7D80" w:rsidP="005F7D80">
      <w:pPr>
        <w:pStyle w:val="Odstavekseznama"/>
        <w:jc w:val="both"/>
        <w:rPr>
          <w:sz w:val="22"/>
          <w:szCs w:val="22"/>
          <w:u w:val="single"/>
        </w:rPr>
      </w:pPr>
    </w:p>
    <w:p w:rsidR="005F7D80" w:rsidRDefault="005F7D80" w:rsidP="005F7D80">
      <w:pPr>
        <w:jc w:val="both"/>
        <w:rPr>
          <w:sz w:val="22"/>
          <w:szCs w:val="22"/>
        </w:rPr>
      </w:pPr>
      <w:r>
        <w:rPr>
          <w:sz w:val="22"/>
          <w:szCs w:val="22"/>
        </w:rPr>
        <w:t xml:space="preserve">Cena ekvivalenta polne zaposlitve je sestavljena iz  povprečne plače, pripadajočih prispevkov za socialno varnost in stroškov materiala in storitev (materialni stroški) ter amortizacije, torej iz vseh neposrednih stroškov, ki nastanejo pri izvajanju raziskovalne dejavnosti. Višina sredstev za materialne stroške in amortizacijo po posamezni cenovni kategoriji se izračuna na podlagi števila točk iz 27. člena uredbe. Zaradi ohranitev razmerji med vrstami stroškov ARRS predlaga, da se število točk pri posamezni cenovni kategoriji pri materialnih stroških in stroških amortizacije poveča za 4 odstotke (kolikor znaša odstotek učinka spremembe izračuna povprečne plače, ki je obrazložen v prejšnji točki). Zaradi učinkov varčevalnih ukrepov v letu 2012 se je pri potekajočih raziskovalnih programih in projektih, ki so bili skladno z uredbo razvrščeni v cenovne kategorije, višina sofinanciranja znižala za en cenovni razred.  </w:t>
      </w:r>
    </w:p>
    <w:p w:rsidR="005F7D80" w:rsidRDefault="005F7D80" w:rsidP="005F7D80">
      <w:pPr>
        <w:pStyle w:val="Odstavekseznama"/>
        <w:jc w:val="both"/>
        <w:rPr>
          <w:sz w:val="22"/>
          <w:szCs w:val="22"/>
        </w:rPr>
      </w:pPr>
    </w:p>
    <w:p w:rsidR="005F7D80" w:rsidRDefault="005F7D80" w:rsidP="005F7D80">
      <w:pPr>
        <w:jc w:val="both"/>
        <w:rPr>
          <w:sz w:val="22"/>
          <w:szCs w:val="22"/>
        </w:rPr>
      </w:pPr>
      <w:r>
        <w:rPr>
          <w:sz w:val="22"/>
          <w:szCs w:val="22"/>
        </w:rPr>
        <w:t xml:space="preserve">Finančni učinek predlagane spremembe uredbe v 27. členu je ocenjen na 1.366.000 evrov. Izračun finančnih posledic spremembe temelji na sistemu izračuna elementov cene ekvivalenta polne zaposlitve. Pri izračunu je ARRS izhajala iz dejanskih podatkov o obsegih raziskovalcev, vključenih v potekajoče raziskovalne programe, raziskovalne projekte in infrastrukturne projekte.  </w:t>
      </w:r>
    </w:p>
    <w:p w:rsidR="005F7D80" w:rsidRDefault="005F7D80" w:rsidP="005F7D80">
      <w:pPr>
        <w:pStyle w:val="Odstavekseznama"/>
        <w:jc w:val="both"/>
        <w:rPr>
          <w:sz w:val="22"/>
          <w:szCs w:val="22"/>
        </w:rPr>
      </w:pPr>
    </w:p>
    <w:p w:rsidR="005F7D80" w:rsidRDefault="005F7D80" w:rsidP="005F7D80">
      <w:pPr>
        <w:jc w:val="both"/>
        <w:rPr>
          <w:sz w:val="22"/>
          <w:szCs w:val="22"/>
        </w:rPr>
      </w:pPr>
      <w:r>
        <w:rPr>
          <w:sz w:val="22"/>
          <w:szCs w:val="22"/>
        </w:rPr>
        <w:t xml:space="preserve">Raziskovalne organizacije že dalj časa opozarjajo, da povprečna cena ekvivalenta polne zaposlitve ne zadošča za pokritje vseh stroškov, ki nastanejo pri izvajanju raziskovalne dejavnosti. S predlagano spremembo uredbe bi raziskovalnim organizacijam zagotovili dodatna sredstva za pokritje stroškov izvajanja raziskovalne dejavnosti in omogočili boljše pogoje za delovanje in s tem boljše rezultate.  Skupni finančni učinek predlaganih sprememb je ocenjen na 3.473.000 evrov. Povečanje cene ekvivalenta polne zaposlitve je del predvidenih ukrepov, vključenih v zvišanje sredstev za izvajanje raziskovalne dejavnosti za leto 2018 (glede na leto 2017). Sredstva za ta namen so zagotovljena v državnem proračunu za leto 2018.  </w:t>
      </w:r>
    </w:p>
    <w:p w:rsidR="005F7D80" w:rsidRDefault="005F7D80" w:rsidP="005F7D80">
      <w:pPr>
        <w:shd w:val="clear" w:color="auto" w:fill="FFFFFF"/>
        <w:rPr>
          <w:bCs/>
          <w:color w:val="000000"/>
          <w:sz w:val="22"/>
          <w:szCs w:val="22"/>
        </w:rPr>
      </w:pPr>
    </w:p>
    <w:p w:rsidR="005F7D80" w:rsidRDefault="005F7D80" w:rsidP="005F7D80">
      <w:pPr>
        <w:jc w:val="both"/>
        <w:rPr>
          <w:bCs/>
          <w:color w:val="000000"/>
          <w:sz w:val="22"/>
          <w:szCs w:val="22"/>
        </w:rPr>
      </w:pPr>
      <w:r>
        <w:rPr>
          <w:bCs/>
          <w:color w:val="000000"/>
          <w:sz w:val="22"/>
          <w:szCs w:val="22"/>
        </w:rPr>
        <w:t>3. Prehodna in končna določba</w:t>
      </w:r>
    </w:p>
    <w:p w:rsidR="005F7D80" w:rsidRDefault="005F7D80" w:rsidP="005F7D80">
      <w:pPr>
        <w:jc w:val="both"/>
        <w:rPr>
          <w:bCs/>
          <w:color w:val="000000"/>
          <w:sz w:val="22"/>
          <w:szCs w:val="22"/>
        </w:rPr>
      </w:pPr>
    </w:p>
    <w:p w:rsidR="005F7D80" w:rsidRDefault="005F7D80" w:rsidP="005F7D80">
      <w:pPr>
        <w:jc w:val="both"/>
        <w:rPr>
          <w:sz w:val="22"/>
          <w:szCs w:val="22"/>
        </w:rPr>
      </w:pPr>
      <w:r>
        <w:rPr>
          <w:color w:val="000000"/>
          <w:spacing w:val="5"/>
          <w:sz w:val="22"/>
          <w:szCs w:val="22"/>
        </w:rPr>
        <w:t xml:space="preserve">Prehodna določba določa, da </w:t>
      </w:r>
      <w:r>
        <w:rPr>
          <w:sz w:val="22"/>
          <w:szCs w:val="22"/>
        </w:rPr>
        <w:t xml:space="preserve">ne glede na določbo drugega stavka petega odstavka 14. člena lahko izvajalci za leto 2018 uveljavljajo spremembo cenovne kategorije raziskovalnega programa oziroma raziskovalnega projekta. </w:t>
      </w:r>
    </w:p>
    <w:p w:rsidR="005F7D80" w:rsidRDefault="005F7D80" w:rsidP="005F7D80">
      <w:pPr>
        <w:shd w:val="clear" w:color="auto" w:fill="FFFFFF"/>
        <w:spacing w:line="250" w:lineRule="exact"/>
        <w:jc w:val="both"/>
        <w:rPr>
          <w:sz w:val="22"/>
          <w:szCs w:val="22"/>
        </w:rPr>
      </w:pPr>
    </w:p>
    <w:p w:rsidR="005F7D80" w:rsidRDefault="005F7D80" w:rsidP="005F7D80">
      <w:pPr>
        <w:shd w:val="clear" w:color="auto" w:fill="FFFFFF"/>
        <w:spacing w:line="250" w:lineRule="exact"/>
        <w:rPr>
          <w:sz w:val="22"/>
          <w:szCs w:val="22"/>
        </w:rPr>
      </w:pPr>
      <w:r>
        <w:rPr>
          <w:color w:val="000000"/>
          <w:spacing w:val="-1"/>
          <w:sz w:val="22"/>
          <w:szCs w:val="22"/>
        </w:rPr>
        <w:t>Končna določba določa začetek veljavnosti uredbe.</w:t>
      </w:r>
    </w:p>
    <w:p w:rsidR="005F7D80" w:rsidRDefault="005F7D80" w:rsidP="005F7D80">
      <w:pPr>
        <w:spacing w:before="240" w:line="240" w:lineRule="auto"/>
        <w:jc w:val="both"/>
        <w:rPr>
          <w:rFonts w:cs="Arial"/>
          <w:bCs/>
          <w:noProof/>
          <w:sz w:val="22"/>
          <w:szCs w:val="22"/>
          <w:lang w:eastAsia="sl-SI"/>
        </w:rPr>
      </w:pPr>
    </w:p>
    <w:p w:rsidR="00BE22D0" w:rsidRDefault="00BE22D0"/>
    <w:sectPr w:rsidR="00BE22D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DB9243C"/>
    <w:multiLevelType w:val="hybridMultilevel"/>
    <w:tmpl w:val="7CD8CFDE"/>
    <w:lvl w:ilvl="0" w:tplc="A85C58BC">
      <w:start w:val="4"/>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1" w15:restartNumberingAfterBreak="0">
    <w:nsid w:val="51335BA7"/>
    <w:multiLevelType w:val="hybridMultilevel"/>
    <w:tmpl w:val="C17ADD3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7D80"/>
    <w:rsid w:val="002A39E5"/>
    <w:rsid w:val="00467BCD"/>
    <w:rsid w:val="005F7D80"/>
    <w:rsid w:val="00695804"/>
    <w:rsid w:val="00A815C4"/>
    <w:rsid w:val="00BE22D0"/>
    <w:rsid w:val="00D21D34"/>
    <w:rsid w:val="00D4345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2F32D67-DB5B-4B1C-80F8-471353779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F7D8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5F7D80"/>
    <w:pPr>
      <w:ind w:left="720"/>
      <w:contextualSpacing/>
    </w:pPr>
  </w:style>
  <w:style w:type="paragraph" w:customStyle="1" w:styleId="odstavek1">
    <w:name w:val="odstavek1"/>
    <w:basedOn w:val="Navaden"/>
    <w:rsid w:val="005F7D80"/>
    <w:pPr>
      <w:spacing w:before="240" w:line="240" w:lineRule="auto"/>
      <w:ind w:firstLine="1021"/>
      <w:jc w:val="both"/>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5814">
      <w:bodyDiv w:val="1"/>
      <w:marLeft w:val="0"/>
      <w:marRight w:val="0"/>
      <w:marTop w:val="0"/>
      <w:marBottom w:val="0"/>
      <w:divBdr>
        <w:top w:val="none" w:sz="0" w:space="0" w:color="auto"/>
        <w:left w:val="none" w:sz="0" w:space="0" w:color="auto"/>
        <w:bottom w:val="none" w:sz="0" w:space="0" w:color="auto"/>
        <w:right w:val="none" w:sz="0" w:space="0" w:color="auto"/>
      </w:divBdr>
    </w:div>
    <w:div w:id="873467245">
      <w:bodyDiv w:val="1"/>
      <w:marLeft w:val="0"/>
      <w:marRight w:val="0"/>
      <w:marTop w:val="0"/>
      <w:marBottom w:val="0"/>
      <w:divBdr>
        <w:top w:val="none" w:sz="0" w:space="0" w:color="auto"/>
        <w:left w:val="none" w:sz="0" w:space="0" w:color="auto"/>
        <w:bottom w:val="none" w:sz="0" w:space="0" w:color="auto"/>
        <w:right w:val="none" w:sz="0" w:space="0" w:color="auto"/>
      </w:divBdr>
    </w:div>
    <w:div w:id="1417556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1412</Words>
  <Characters>8052</Characters>
  <Application>Microsoft Office Word</Application>
  <DocSecurity>0</DocSecurity>
  <Lines>67</Lines>
  <Paragraphs>18</Paragraphs>
  <ScaleCrop>false</ScaleCrop>
  <Company/>
  <LinksUpToDate>false</LinksUpToDate>
  <CharactersWithSpaces>9446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Claudia Babič</dc:creator>
  <cp:keywords/>
  <dc:description/>
  <cp:lastModifiedBy>Barbara Claudia Babič</cp:lastModifiedBy>
  <cp:revision>8</cp:revision>
  <dcterms:created xsi:type="dcterms:W3CDTF">2017-12-13T12:55:00Z</dcterms:created>
  <dcterms:modified xsi:type="dcterms:W3CDTF">2017-12-18T12:00:00Z</dcterms:modified>
</cp:coreProperties>
</file>