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43EC" w:rsidRDefault="00A743EC" w:rsidP="00A743EC">
      <w:pPr>
        <w:tabs>
          <w:tab w:val="left" w:pos="-1276"/>
        </w:tabs>
        <w:jc w:val="both"/>
        <w:rPr>
          <w:sz w:val="22"/>
          <w:szCs w:val="22"/>
        </w:rPr>
      </w:pPr>
    </w:p>
    <w:p w:rsidR="00A743EC" w:rsidRDefault="00A743EC" w:rsidP="00A743EC">
      <w:pPr>
        <w:tabs>
          <w:tab w:val="left" w:pos="708"/>
        </w:tabs>
        <w:jc w:val="right"/>
        <w:rPr>
          <w:rFonts w:cs="Arial"/>
          <w:b/>
          <w:sz w:val="22"/>
          <w:szCs w:val="22"/>
        </w:rPr>
      </w:pPr>
      <w:r>
        <w:rPr>
          <w:rFonts w:cs="Arial"/>
          <w:b/>
          <w:sz w:val="22"/>
          <w:szCs w:val="22"/>
        </w:rPr>
        <w:t>PREDLOG</w:t>
      </w:r>
    </w:p>
    <w:p w:rsidR="00E00418" w:rsidRDefault="00AB76DC" w:rsidP="00A743EC">
      <w:pPr>
        <w:tabs>
          <w:tab w:val="left" w:pos="708"/>
        </w:tabs>
        <w:jc w:val="right"/>
        <w:rPr>
          <w:rFonts w:cs="Arial"/>
          <w:b/>
          <w:sz w:val="22"/>
          <w:szCs w:val="22"/>
        </w:rPr>
      </w:pPr>
      <w:r>
        <w:rPr>
          <w:rFonts w:cs="Arial"/>
          <w:b/>
          <w:sz w:val="22"/>
          <w:szCs w:val="22"/>
        </w:rPr>
        <w:t>17</w:t>
      </w:r>
      <w:bookmarkStart w:id="0" w:name="_GoBack"/>
      <w:bookmarkEnd w:id="0"/>
      <w:r w:rsidR="00E00418">
        <w:rPr>
          <w:rFonts w:cs="Arial"/>
          <w:b/>
          <w:sz w:val="22"/>
          <w:szCs w:val="22"/>
        </w:rPr>
        <w:t>.02.2017</w:t>
      </w:r>
    </w:p>
    <w:p w:rsidR="00E00418" w:rsidRDefault="00E00418" w:rsidP="00A743EC">
      <w:pPr>
        <w:tabs>
          <w:tab w:val="left" w:pos="708"/>
        </w:tabs>
        <w:jc w:val="right"/>
        <w:rPr>
          <w:rFonts w:cs="Arial"/>
          <w:b/>
          <w:sz w:val="22"/>
          <w:szCs w:val="22"/>
        </w:rPr>
      </w:pPr>
    </w:p>
    <w:p w:rsidR="00A743EC" w:rsidRDefault="00A743EC" w:rsidP="00A743EC">
      <w:pPr>
        <w:tabs>
          <w:tab w:val="left" w:pos="708"/>
        </w:tabs>
        <w:rPr>
          <w:rFonts w:cs="Arial"/>
          <w:b/>
          <w:sz w:val="22"/>
          <w:szCs w:val="22"/>
        </w:rPr>
      </w:pP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p>
    <w:p w:rsidR="00A743EC" w:rsidRDefault="00A743EC" w:rsidP="00A743EC">
      <w:pPr>
        <w:spacing w:line="240" w:lineRule="auto"/>
        <w:ind w:left="142"/>
        <w:jc w:val="both"/>
        <w:rPr>
          <w:rFonts w:cs="Arial"/>
          <w:b/>
          <w:bCs/>
          <w:sz w:val="22"/>
          <w:szCs w:val="22"/>
          <w:lang w:eastAsia="sl-SI"/>
        </w:rPr>
      </w:pPr>
      <w:r>
        <w:rPr>
          <w:rFonts w:cs="Arial"/>
          <w:sz w:val="22"/>
          <w:szCs w:val="22"/>
          <w:lang w:eastAsia="sl-SI"/>
        </w:rPr>
        <w:t>Na podlagi 13. člena Zakona o raziskovalni in razvojni dejavnosti (Uradni list RS, št. 22/06 – uradno prečiščeno besedilo, 61/06 – ZDru-1, 112/07, 9/11 in 57/12 – ZPOP-1A) izdaja Vlada Republike Slovenije</w:t>
      </w:r>
    </w:p>
    <w:p w:rsidR="00A743EC" w:rsidRDefault="00A743EC" w:rsidP="00A743EC">
      <w:pPr>
        <w:spacing w:line="240" w:lineRule="auto"/>
        <w:ind w:left="142"/>
        <w:jc w:val="both"/>
        <w:rPr>
          <w:rFonts w:cs="Arial"/>
          <w:b/>
          <w:bCs/>
          <w:sz w:val="22"/>
          <w:szCs w:val="22"/>
          <w:lang w:eastAsia="sl-SI"/>
        </w:rPr>
      </w:pPr>
    </w:p>
    <w:p w:rsidR="00EE551A" w:rsidRDefault="00EE551A" w:rsidP="00A743EC">
      <w:pPr>
        <w:spacing w:line="240" w:lineRule="auto"/>
        <w:ind w:left="142"/>
        <w:jc w:val="both"/>
        <w:rPr>
          <w:rFonts w:cs="Arial"/>
          <w:b/>
          <w:bCs/>
          <w:sz w:val="22"/>
          <w:szCs w:val="22"/>
          <w:lang w:eastAsia="sl-SI"/>
        </w:rPr>
      </w:pPr>
    </w:p>
    <w:p w:rsidR="00A743EC" w:rsidRDefault="00A743EC" w:rsidP="00A743EC">
      <w:pPr>
        <w:spacing w:line="240" w:lineRule="auto"/>
        <w:ind w:left="142"/>
        <w:jc w:val="both"/>
        <w:rPr>
          <w:rFonts w:cs="Arial"/>
          <w:b/>
          <w:bCs/>
          <w:sz w:val="22"/>
          <w:szCs w:val="22"/>
          <w:lang w:eastAsia="sl-SI"/>
        </w:rPr>
      </w:pPr>
    </w:p>
    <w:p w:rsidR="00A743EC" w:rsidRDefault="00A743EC" w:rsidP="00A743EC">
      <w:pPr>
        <w:spacing w:line="240" w:lineRule="auto"/>
        <w:ind w:left="142"/>
        <w:jc w:val="center"/>
        <w:rPr>
          <w:rFonts w:cs="Arial"/>
          <w:b/>
          <w:bCs/>
          <w:sz w:val="22"/>
          <w:szCs w:val="22"/>
          <w:lang w:eastAsia="sl-SI"/>
        </w:rPr>
      </w:pPr>
      <w:r>
        <w:rPr>
          <w:rFonts w:cs="Arial"/>
          <w:b/>
          <w:bCs/>
          <w:sz w:val="22"/>
          <w:szCs w:val="22"/>
          <w:lang w:eastAsia="sl-SI"/>
        </w:rPr>
        <w:t>Uredbo o spremembah in dopolnitvah Uredbe o normativih in standardih za določanje sredstev za izvajanje raziskovalne dejavnosti, financirane iz Proračuna Republike Slovenije</w:t>
      </w:r>
    </w:p>
    <w:p w:rsidR="00A743EC" w:rsidRDefault="00A743EC" w:rsidP="00A743EC">
      <w:pPr>
        <w:rPr>
          <w:rFonts w:cs="Arial"/>
          <w:sz w:val="22"/>
          <w:szCs w:val="22"/>
          <w:lang w:eastAsia="sl-SI"/>
        </w:rPr>
      </w:pPr>
    </w:p>
    <w:p w:rsidR="00A743EC" w:rsidRDefault="00A743EC" w:rsidP="00A743EC">
      <w:pPr>
        <w:jc w:val="center"/>
        <w:rPr>
          <w:b/>
          <w:sz w:val="22"/>
          <w:szCs w:val="22"/>
        </w:rPr>
      </w:pPr>
    </w:p>
    <w:p w:rsidR="00A743EC" w:rsidRDefault="00A743EC" w:rsidP="00A743EC">
      <w:pPr>
        <w:jc w:val="center"/>
        <w:rPr>
          <w:sz w:val="22"/>
          <w:szCs w:val="22"/>
        </w:rPr>
      </w:pPr>
      <w:r>
        <w:rPr>
          <w:sz w:val="22"/>
          <w:szCs w:val="22"/>
        </w:rPr>
        <w:t>1. člen</w:t>
      </w:r>
    </w:p>
    <w:p w:rsidR="00A743EC" w:rsidRDefault="00A743EC" w:rsidP="00A743EC">
      <w:pPr>
        <w:jc w:val="center"/>
        <w:rPr>
          <w:sz w:val="22"/>
          <w:szCs w:val="22"/>
        </w:rPr>
      </w:pPr>
    </w:p>
    <w:p w:rsidR="00A743EC" w:rsidRDefault="00A743EC" w:rsidP="00A743EC">
      <w:pPr>
        <w:jc w:val="both"/>
        <w:rPr>
          <w:sz w:val="22"/>
          <w:szCs w:val="22"/>
        </w:rPr>
      </w:pPr>
      <w:r>
        <w:rPr>
          <w:sz w:val="22"/>
          <w:szCs w:val="22"/>
        </w:rPr>
        <w:t>V Uredbi o normativih in standardih za določanje sredstev za izvajanje raziskovalne dejavnosti, financirane iz Proračuna Republike Slovenije (Uradni list RS, št. 103/11, 56/12, 15/14 in 103/15) se v  drugem odstavku 10. člena v prvi alineji znesek »200.000 evrov« nadomesti z zneskom »50.000 evrov«.</w:t>
      </w:r>
    </w:p>
    <w:p w:rsidR="00A743EC" w:rsidRDefault="00A743EC" w:rsidP="00A743EC">
      <w:pPr>
        <w:rPr>
          <w:sz w:val="22"/>
          <w:szCs w:val="22"/>
        </w:rPr>
      </w:pPr>
    </w:p>
    <w:p w:rsidR="00A743EC" w:rsidRDefault="00A743EC" w:rsidP="00A743EC">
      <w:pPr>
        <w:jc w:val="center"/>
        <w:rPr>
          <w:sz w:val="22"/>
          <w:szCs w:val="22"/>
        </w:rPr>
      </w:pPr>
      <w:r>
        <w:rPr>
          <w:sz w:val="22"/>
          <w:szCs w:val="22"/>
        </w:rPr>
        <w:t>2. člen</w:t>
      </w:r>
    </w:p>
    <w:p w:rsidR="00A743EC" w:rsidRDefault="00A743EC" w:rsidP="00A743EC">
      <w:pPr>
        <w:jc w:val="center"/>
        <w:rPr>
          <w:sz w:val="22"/>
          <w:szCs w:val="22"/>
        </w:rPr>
      </w:pPr>
    </w:p>
    <w:p w:rsidR="00A743EC" w:rsidRDefault="00A743EC" w:rsidP="00A743EC">
      <w:pPr>
        <w:jc w:val="both"/>
        <w:rPr>
          <w:sz w:val="22"/>
          <w:szCs w:val="22"/>
        </w:rPr>
      </w:pPr>
      <w:r>
        <w:rPr>
          <w:sz w:val="22"/>
          <w:szCs w:val="22"/>
        </w:rPr>
        <w:t>V 12. členu se v prvi, drugi in tretji alineji besedilo »do 4 točke« nadomesti z besedilom »do 5 točk«, v četrti alineji pa se besedilo »do 3 točke« nadomesti z besedilom »do 5 točk«.</w:t>
      </w:r>
    </w:p>
    <w:p w:rsidR="00A743EC" w:rsidRDefault="00A743EC" w:rsidP="00A743EC">
      <w:pPr>
        <w:rPr>
          <w:sz w:val="22"/>
          <w:szCs w:val="22"/>
        </w:rPr>
      </w:pPr>
    </w:p>
    <w:p w:rsidR="00A743EC" w:rsidRDefault="00A743EC" w:rsidP="00A743EC">
      <w:pPr>
        <w:rPr>
          <w:sz w:val="22"/>
          <w:szCs w:val="22"/>
        </w:rPr>
      </w:pPr>
    </w:p>
    <w:p w:rsidR="00A743EC" w:rsidRDefault="00A743EC" w:rsidP="00A743EC">
      <w:pPr>
        <w:jc w:val="center"/>
        <w:rPr>
          <w:sz w:val="22"/>
          <w:szCs w:val="22"/>
        </w:rPr>
      </w:pPr>
      <w:r>
        <w:rPr>
          <w:sz w:val="22"/>
          <w:szCs w:val="22"/>
        </w:rPr>
        <w:t>3. člen</w:t>
      </w:r>
    </w:p>
    <w:p w:rsidR="00A743EC" w:rsidRDefault="00A743EC" w:rsidP="00A743EC">
      <w:pPr>
        <w:rPr>
          <w:sz w:val="22"/>
          <w:szCs w:val="22"/>
        </w:rPr>
      </w:pPr>
      <w:r>
        <w:rPr>
          <w:sz w:val="22"/>
          <w:szCs w:val="22"/>
        </w:rPr>
        <w:t xml:space="preserve"> </w:t>
      </w:r>
    </w:p>
    <w:p w:rsidR="00A743EC" w:rsidRDefault="00A743EC" w:rsidP="00A743EC">
      <w:pPr>
        <w:rPr>
          <w:sz w:val="22"/>
          <w:szCs w:val="22"/>
        </w:rPr>
      </w:pPr>
      <w:r>
        <w:rPr>
          <w:sz w:val="22"/>
          <w:szCs w:val="22"/>
        </w:rPr>
        <w:t xml:space="preserve">Drugi odstavek 14. člena se spremeni tako, da se glasi: </w:t>
      </w:r>
    </w:p>
    <w:p w:rsidR="00A743EC" w:rsidRDefault="00A743EC" w:rsidP="00A743EC">
      <w:pPr>
        <w:rPr>
          <w:sz w:val="22"/>
          <w:szCs w:val="22"/>
        </w:rPr>
      </w:pPr>
    </w:p>
    <w:p w:rsidR="00A743EC" w:rsidRDefault="00A743EC" w:rsidP="00A743EC">
      <w:pPr>
        <w:rPr>
          <w:sz w:val="22"/>
          <w:szCs w:val="22"/>
        </w:rPr>
      </w:pPr>
      <w:r>
        <w:rPr>
          <w:color w:val="000000"/>
          <w:sz w:val="22"/>
          <w:szCs w:val="22"/>
        </w:rPr>
        <w:t>»(2) Glede na ugotovljeno stopnjo opremljenosti se dodeli:</w:t>
      </w:r>
    </w:p>
    <w:p w:rsidR="00A743EC" w:rsidRDefault="00A743EC" w:rsidP="00A743EC">
      <w:pPr>
        <w:rPr>
          <w:sz w:val="22"/>
          <w:szCs w:val="22"/>
        </w:rPr>
      </w:pPr>
    </w:p>
    <w:p w:rsidR="00A743EC" w:rsidRDefault="00A743EC" w:rsidP="00A743EC">
      <w:pPr>
        <w:rPr>
          <w:sz w:val="22"/>
          <w:szCs w:val="22"/>
        </w:rPr>
      </w:pPr>
      <w:r>
        <w:rPr>
          <w:sz w:val="22"/>
          <w:szCs w:val="22"/>
        </w:rPr>
        <w:t xml:space="preserve"> </w:t>
      </w:r>
    </w:p>
    <w:tbl>
      <w:tblPr>
        <w:tblW w:w="3250" w:type="pct"/>
        <w:jc w:val="center"/>
        <w:tblCellSpacing w:w="7" w:type="dxa"/>
        <w:tblCellMar>
          <w:left w:w="0" w:type="dxa"/>
          <w:right w:w="0" w:type="dxa"/>
        </w:tblCellMar>
        <w:tblLook w:val="04A0" w:firstRow="1" w:lastRow="0" w:firstColumn="1" w:lastColumn="0" w:noHBand="0" w:noVBand="1"/>
      </w:tblPr>
      <w:tblGrid>
        <w:gridCol w:w="3456"/>
        <w:gridCol w:w="2441"/>
      </w:tblGrid>
      <w:tr w:rsidR="00A743EC" w:rsidTr="00A743EC">
        <w:trPr>
          <w:trHeight w:val="300"/>
          <w:tblCellSpacing w:w="7" w:type="dxa"/>
          <w:jc w:val="center"/>
        </w:trPr>
        <w:tc>
          <w:tcPr>
            <w:tcW w:w="0" w:type="auto"/>
            <w:shd w:val="clear" w:color="auto" w:fill="BFD3EA"/>
            <w:vAlign w:val="center"/>
            <w:hideMark/>
          </w:tcPr>
          <w:p w:rsidR="00A743EC" w:rsidRDefault="00A743EC">
            <w:pPr>
              <w:jc w:val="center"/>
              <w:rPr>
                <w:rFonts w:ascii="Verdana" w:hAnsi="Verdana"/>
                <w:color w:val="313966"/>
                <w:sz w:val="22"/>
                <w:szCs w:val="22"/>
                <w:lang w:eastAsia="sl-SI"/>
              </w:rPr>
            </w:pPr>
            <w:r>
              <w:rPr>
                <w:rFonts w:ascii="Verdana" w:hAnsi="Verdana"/>
                <w:bCs/>
                <w:color w:val="313966"/>
                <w:sz w:val="22"/>
                <w:szCs w:val="22"/>
                <w:lang w:eastAsia="sl-SI"/>
              </w:rPr>
              <w:t>Seštevek točk</w:t>
            </w:r>
          </w:p>
        </w:tc>
        <w:tc>
          <w:tcPr>
            <w:tcW w:w="0" w:type="auto"/>
            <w:shd w:val="clear" w:color="auto" w:fill="BFD3EA"/>
            <w:vAlign w:val="center"/>
            <w:hideMark/>
          </w:tcPr>
          <w:p w:rsidR="00A743EC" w:rsidRDefault="00A743EC">
            <w:pPr>
              <w:jc w:val="center"/>
              <w:rPr>
                <w:rFonts w:ascii="Verdana" w:hAnsi="Verdana"/>
                <w:color w:val="313966"/>
                <w:sz w:val="22"/>
                <w:szCs w:val="22"/>
                <w:lang w:eastAsia="sl-SI"/>
              </w:rPr>
            </w:pPr>
            <w:r>
              <w:rPr>
                <w:rFonts w:ascii="Verdana" w:hAnsi="Verdana"/>
                <w:bCs/>
                <w:color w:val="313966"/>
                <w:sz w:val="22"/>
                <w:szCs w:val="22"/>
                <w:lang w:eastAsia="sl-SI"/>
              </w:rPr>
              <w:t>Kategorija</w:t>
            </w:r>
          </w:p>
        </w:tc>
      </w:tr>
      <w:tr w:rsidR="00A743EC" w:rsidTr="00A743EC">
        <w:trPr>
          <w:trHeight w:val="300"/>
          <w:tblCellSpacing w:w="7" w:type="dxa"/>
          <w:jc w:val="center"/>
        </w:trPr>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do 55</w:t>
            </w:r>
          </w:p>
        </w:tc>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razred A</w:t>
            </w:r>
          </w:p>
        </w:tc>
      </w:tr>
      <w:tr w:rsidR="00A743EC" w:rsidTr="00A743EC">
        <w:trPr>
          <w:trHeight w:val="300"/>
          <w:tblCellSpacing w:w="7" w:type="dxa"/>
          <w:jc w:val="center"/>
        </w:trPr>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od 56 do 80</w:t>
            </w:r>
          </w:p>
        </w:tc>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razred B</w:t>
            </w:r>
          </w:p>
        </w:tc>
      </w:tr>
      <w:tr w:rsidR="00A743EC" w:rsidTr="00A743EC">
        <w:trPr>
          <w:trHeight w:val="300"/>
          <w:tblCellSpacing w:w="7" w:type="dxa"/>
          <w:jc w:val="center"/>
        </w:trPr>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od 81 do 110</w:t>
            </w:r>
          </w:p>
        </w:tc>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razred C</w:t>
            </w:r>
          </w:p>
        </w:tc>
      </w:tr>
      <w:tr w:rsidR="00A743EC" w:rsidTr="00A743EC">
        <w:trPr>
          <w:trHeight w:val="300"/>
          <w:tblCellSpacing w:w="7" w:type="dxa"/>
          <w:jc w:val="center"/>
        </w:trPr>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od 111 do 130</w:t>
            </w:r>
          </w:p>
        </w:tc>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razred D</w:t>
            </w:r>
          </w:p>
        </w:tc>
      </w:tr>
      <w:tr w:rsidR="00A743EC" w:rsidTr="00A743EC">
        <w:trPr>
          <w:trHeight w:val="300"/>
          <w:tblCellSpacing w:w="7" w:type="dxa"/>
          <w:jc w:val="center"/>
        </w:trPr>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od 131 do 160</w:t>
            </w:r>
          </w:p>
        </w:tc>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razred E</w:t>
            </w:r>
          </w:p>
        </w:tc>
      </w:tr>
      <w:tr w:rsidR="00A743EC" w:rsidTr="00A743EC">
        <w:trPr>
          <w:trHeight w:val="300"/>
          <w:tblCellSpacing w:w="7" w:type="dxa"/>
          <w:jc w:val="center"/>
        </w:trPr>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od 161</w:t>
            </w:r>
          </w:p>
        </w:tc>
        <w:tc>
          <w:tcPr>
            <w:tcW w:w="0" w:type="auto"/>
            <w:shd w:val="clear" w:color="auto" w:fill="E2ECF5"/>
            <w:hideMark/>
          </w:tcPr>
          <w:p w:rsidR="00A743EC" w:rsidRDefault="00A743EC">
            <w:pPr>
              <w:rPr>
                <w:rFonts w:ascii="Verdana" w:hAnsi="Verdana"/>
                <w:color w:val="313966"/>
                <w:sz w:val="22"/>
                <w:szCs w:val="22"/>
                <w:lang w:eastAsia="sl-SI"/>
              </w:rPr>
            </w:pPr>
            <w:r>
              <w:rPr>
                <w:rFonts w:ascii="Verdana" w:hAnsi="Verdana"/>
                <w:color w:val="313966"/>
                <w:sz w:val="22"/>
                <w:szCs w:val="22"/>
                <w:lang w:eastAsia="sl-SI"/>
              </w:rPr>
              <w:t>razred F</w:t>
            </w:r>
          </w:p>
        </w:tc>
      </w:tr>
    </w:tbl>
    <w:p w:rsidR="00A743EC" w:rsidRDefault="00A743EC" w:rsidP="00A743EC">
      <w:pPr>
        <w:rPr>
          <w:sz w:val="22"/>
          <w:szCs w:val="22"/>
        </w:rPr>
      </w:pPr>
      <w:r>
        <w:rPr>
          <w:sz w:val="22"/>
          <w:szCs w:val="22"/>
        </w:rPr>
        <w:t xml:space="preserve">                                                                                                                       .«.</w:t>
      </w:r>
    </w:p>
    <w:p w:rsidR="00A743EC" w:rsidRDefault="00A743EC" w:rsidP="00A743EC">
      <w:pPr>
        <w:rPr>
          <w:sz w:val="22"/>
          <w:szCs w:val="22"/>
        </w:rPr>
      </w:pPr>
    </w:p>
    <w:p w:rsidR="00A743EC" w:rsidRDefault="00A743EC" w:rsidP="00A743EC">
      <w:pPr>
        <w:rPr>
          <w:sz w:val="22"/>
          <w:szCs w:val="22"/>
        </w:rPr>
      </w:pPr>
      <w:r>
        <w:rPr>
          <w:sz w:val="22"/>
          <w:szCs w:val="22"/>
        </w:rPr>
        <w:t xml:space="preserve">Za četrtim odstavkom se doda nov peti odstavek, ki se glasi: </w:t>
      </w:r>
    </w:p>
    <w:p w:rsidR="00A743EC" w:rsidRDefault="00A743EC" w:rsidP="00A743EC">
      <w:pPr>
        <w:rPr>
          <w:sz w:val="22"/>
          <w:szCs w:val="22"/>
        </w:rPr>
      </w:pPr>
    </w:p>
    <w:p w:rsidR="00A743EC" w:rsidRDefault="00A743EC" w:rsidP="00A743EC">
      <w:pPr>
        <w:jc w:val="both"/>
        <w:rPr>
          <w:sz w:val="22"/>
          <w:szCs w:val="22"/>
        </w:rPr>
      </w:pPr>
      <w:r>
        <w:rPr>
          <w:sz w:val="22"/>
          <w:szCs w:val="22"/>
        </w:rPr>
        <w:t xml:space="preserve">»(5) Za potekajoče raziskovalne programe oziroma raziskovalne projekte se lahko cenovna kategorija na predlog izvajalca spremeni. Predlog se poda na obrazcu za opredelitev cenovne kategorije raziskovalnega programa oziroma raziskovalnega projekta skupaj z utemeljitvijo in soglasjem  soizvajalcev. Spremembo cenovne kategorije se opravi tako, da se ohrani finančni </w:t>
      </w:r>
      <w:r>
        <w:rPr>
          <w:sz w:val="22"/>
          <w:szCs w:val="22"/>
        </w:rPr>
        <w:lastRenderedPageBreak/>
        <w:t xml:space="preserve">obseg financiranja. Zaokrožitve se opravijo na celo raziskovalno uro, pri pretvorbi v ekvivalent polne zaposlitve pa na dve decimalni mesti natančno.«. </w:t>
      </w:r>
    </w:p>
    <w:p w:rsidR="00A743EC" w:rsidRDefault="00A743EC" w:rsidP="00A743EC">
      <w:pPr>
        <w:rPr>
          <w:sz w:val="22"/>
          <w:szCs w:val="22"/>
        </w:rPr>
      </w:pPr>
    </w:p>
    <w:p w:rsidR="00A743EC" w:rsidRDefault="00A743EC" w:rsidP="00A743EC">
      <w:pPr>
        <w:jc w:val="center"/>
        <w:rPr>
          <w:sz w:val="22"/>
          <w:szCs w:val="22"/>
        </w:rPr>
      </w:pPr>
      <w:r>
        <w:rPr>
          <w:sz w:val="22"/>
          <w:szCs w:val="22"/>
        </w:rPr>
        <w:t>4. člen</w:t>
      </w:r>
    </w:p>
    <w:p w:rsidR="00A743EC" w:rsidRDefault="00A743EC" w:rsidP="00A743EC">
      <w:pPr>
        <w:jc w:val="center"/>
        <w:rPr>
          <w:sz w:val="22"/>
          <w:szCs w:val="22"/>
        </w:rPr>
      </w:pPr>
    </w:p>
    <w:p w:rsidR="00A743EC" w:rsidRDefault="00A743EC" w:rsidP="00A743EC">
      <w:pPr>
        <w:rPr>
          <w:sz w:val="22"/>
          <w:szCs w:val="22"/>
        </w:rPr>
      </w:pPr>
      <w:r>
        <w:rPr>
          <w:sz w:val="22"/>
          <w:szCs w:val="22"/>
        </w:rPr>
        <w:t xml:space="preserve">Druga in tretja alineja 21. člena se spremenita tako da se glasita: </w:t>
      </w:r>
    </w:p>
    <w:p w:rsidR="00A743EC" w:rsidRDefault="00A743EC" w:rsidP="00A743EC">
      <w:pPr>
        <w:pStyle w:val="Odstavekseznama"/>
        <w:ind w:left="780" w:hanging="780"/>
        <w:rPr>
          <w:sz w:val="22"/>
          <w:szCs w:val="22"/>
        </w:rPr>
      </w:pPr>
      <w:r>
        <w:rPr>
          <w:sz w:val="22"/>
          <w:szCs w:val="22"/>
        </w:rPr>
        <w:t>»- obdobje treh let v 30. plačnem razredu in eno leto v 32. plačnem razredu;</w:t>
      </w:r>
    </w:p>
    <w:p w:rsidR="00A743EC" w:rsidRDefault="00A743EC" w:rsidP="00A743EC">
      <w:pPr>
        <w:pStyle w:val="Odstavekseznama"/>
        <w:ind w:left="780" w:hanging="780"/>
        <w:rPr>
          <w:sz w:val="22"/>
          <w:szCs w:val="22"/>
        </w:rPr>
      </w:pPr>
      <w:r>
        <w:rPr>
          <w:sz w:val="22"/>
          <w:szCs w:val="22"/>
        </w:rPr>
        <w:t>- povprečno delovno dobo za čas usposabljanja.«.</w:t>
      </w:r>
    </w:p>
    <w:p w:rsidR="00A743EC" w:rsidRDefault="00A743EC" w:rsidP="00A743EC">
      <w:pPr>
        <w:rPr>
          <w:sz w:val="22"/>
          <w:szCs w:val="22"/>
        </w:rPr>
      </w:pPr>
    </w:p>
    <w:p w:rsidR="00A743EC" w:rsidRDefault="00A743EC" w:rsidP="00A743EC">
      <w:pPr>
        <w:rPr>
          <w:sz w:val="22"/>
          <w:szCs w:val="22"/>
        </w:rPr>
      </w:pPr>
    </w:p>
    <w:p w:rsidR="00A743EC" w:rsidRDefault="00A743EC" w:rsidP="00A743EC">
      <w:pPr>
        <w:jc w:val="center"/>
        <w:rPr>
          <w:sz w:val="22"/>
          <w:szCs w:val="22"/>
        </w:rPr>
      </w:pPr>
      <w:r>
        <w:rPr>
          <w:sz w:val="22"/>
          <w:szCs w:val="22"/>
        </w:rPr>
        <w:t>5. člen</w:t>
      </w:r>
    </w:p>
    <w:p w:rsidR="00A743EC" w:rsidRDefault="00A743EC" w:rsidP="00A743EC">
      <w:pPr>
        <w:jc w:val="center"/>
        <w:rPr>
          <w:sz w:val="22"/>
          <w:szCs w:val="22"/>
        </w:rPr>
      </w:pPr>
    </w:p>
    <w:p w:rsidR="00A743EC" w:rsidRDefault="00A743EC" w:rsidP="00A743EC">
      <w:pPr>
        <w:jc w:val="both"/>
        <w:rPr>
          <w:sz w:val="22"/>
          <w:szCs w:val="22"/>
        </w:rPr>
      </w:pPr>
      <w:r>
        <w:rPr>
          <w:sz w:val="22"/>
          <w:szCs w:val="22"/>
        </w:rPr>
        <w:t xml:space="preserve">V prvem odstavku 36. člena se v drugem stavku besedi »posrednih stroškov« nadomestita z besedilom »fiksnih stroškov in stroškov upravljanja«. </w:t>
      </w:r>
    </w:p>
    <w:p w:rsidR="00A743EC" w:rsidRDefault="00A743EC" w:rsidP="00A743EC">
      <w:pPr>
        <w:rPr>
          <w:sz w:val="22"/>
          <w:szCs w:val="22"/>
        </w:rPr>
      </w:pPr>
    </w:p>
    <w:p w:rsidR="00A743EC" w:rsidRDefault="00A743EC" w:rsidP="00A743EC">
      <w:pPr>
        <w:rPr>
          <w:sz w:val="22"/>
          <w:szCs w:val="22"/>
        </w:rPr>
      </w:pPr>
    </w:p>
    <w:p w:rsidR="00A743EC" w:rsidRDefault="00A743EC" w:rsidP="00A743EC">
      <w:pPr>
        <w:jc w:val="center"/>
        <w:rPr>
          <w:sz w:val="22"/>
          <w:szCs w:val="22"/>
        </w:rPr>
      </w:pPr>
      <w:r>
        <w:rPr>
          <w:sz w:val="22"/>
          <w:szCs w:val="22"/>
        </w:rPr>
        <w:t>PREHODNA IN KONČNA DOLOČBA</w:t>
      </w:r>
    </w:p>
    <w:p w:rsidR="00A743EC" w:rsidRDefault="00A743EC" w:rsidP="00A743EC">
      <w:pPr>
        <w:jc w:val="center"/>
        <w:rPr>
          <w:sz w:val="22"/>
          <w:szCs w:val="22"/>
        </w:rPr>
      </w:pPr>
    </w:p>
    <w:p w:rsidR="00A743EC" w:rsidRDefault="00A743EC" w:rsidP="00A743EC">
      <w:pPr>
        <w:jc w:val="center"/>
        <w:rPr>
          <w:sz w:val="22"/>
          <w:szCs w:val="22"/>
        </w:rPr>
      </w:pPr>
      <w:r>
        <w:rPr>
          <w:sz w:val="22"/>
          <w:szCs w:val="22"/>
        </w:rPr>
        <w:t>6. člen</w:t>
      </w:r>
    </w:p>
    <w:p w:rsidR="00A743EC" w:rsidRDefault="00A743EC" w:rsidP="00A743EC">
      <w:pPr>
        <w:jc w:val="center"/>
        <w:rPr>
          <w:sz w:val="22"/>
          <w:szCs w:val="22"/>
        </w:rPr>
      </w:pPr>
    </w:p>
    <w:p w:rsidR="00A743EC" w:rsidRDefault="00A743EC" w:rsidP="00A743EC">
      <w:pPr>
        <w:rPr>
          <w:sz w:val="22"/>
          <w:szCs w:val="22"/>
        </w:rPr>
      </w:pPr>
      <w:r>
        <w:rPr>
          <w:sz w:val="22"/>
          <w:szCs w:val="22"/>
        </w:rPr>
        <w:t xml:space="preserve">Določbi 4. člena te uredbe se uporabljata tudi za sredstva, dodeljena za leto 2017. </w:t>
      </w:r>
    </w:p>
    <w:p w:rsidR="00A743EC" w:rsidRDefault="00A743EC" w:rsidP="00A743EC">
      <w:pPr>
        <w:jc w:val="center"/>
        <w:rPr>
          <w:sz w:val="22"/>
          <w:szCs w:val="22"/>
        </w:rPr>
      </w:pPr>
    </w:p>
    <w:p w:rsidR="00A743EC" w:rsidRDefault="00A743EC" w:rsidP="00A743EC">
      <w:pPr>
        <w:jc w:val="center"/>
        <w:rPr>
          <w:sz w:val="22"/>
          <w:szCs w:val="22"/>
        </w:rPr>
      </w:pPr>
      <w:r>
        <w:rPr>
          <w:sz w:val="22"/>
          <w:szCs w:val="22"/>
        </w:rPr>
        <w:t>7. člen</w:t>
      </w:r>
    </w:p>
    <w:p w:rsidR="00A743EC" w:rsidRDefault="00A743EC" w:rsidP="00A743EC">
      <w:pPr>
        <w:spacing w:before="240"/>
        <w:rPr>
          <w:sz w:val="22"/>
          <w:szCs w:val="22"/>
        </w:rPr>
      </w:pPr>
      <w:r>
        <w:rPr>
          <w:sz w:val="22"/>
          <w:szCs w:val="22"/>
        </w:rPr>
        <w:t>Ta uredba začne veljati naslednji dan po objavi v Uradnem listu Republike Slovenije.</w:t>
      </w:r>
    </w:p>
    <w:p w:rsidR="00A743EC" w:rsidRDefault="00A743EC" w:rsidP="00A743EC">
      <w:pPr>
        <w:spacing w:before="240" w:line="240" w:lineRule="auto"/>
        <w:rPr>
          <w:rFonts w:cs="Arial"/>
          <w:sz w:val="22"/>
          <w:szCs w:val="22"/>
          <w:lang w:eastAsia="sl-SI"/>
        </w:rPr>
      </w:pPr>
    </w:p>
    <w:p w:rsidR="00A743EC" w:rsidRDefault="00A743EC" w:rsidP="00A743EC">
      <w:pPr>
        <w:spacing w:before="240" w:line="240" w:lineRule="auto"/>
        <w:rPr>
          <w:rFonts w:cs="Arial"/>
          <w:sz w:val="22"/>
          <w:szCs w:val="22"/>
          <w:lang w:eastAsia="sl-SI"/>
        </w:rPr>
      </w:pPr>
    </w:p>
    <w:p w:rsidR="00A743EC" w:rsidRDefault="00A743EC" w:rsidP="00A743EC">
      <w:pPr>
        <w:spacing w:before="240" w:line="240" w:lineRule="auto"/>
        <w:rPr>
          <w:rFonts w:cs="Arial"/>
          <w:sz w:val="22"/>
          <w:szCs w:val="22"/>
          <w:lang w:eastAsia="sl-SI"/>
        </w:rPr>
      </w:pPr>
    </w:p>
    <w:p w:rsidR="00A743EC" w:rsidRDefault="00A743EC" w:rsidP="00A743EC">
      <w:pPr>
        <w:spacing w:before="240" w:line="240" w:lineRule="auto"/>
        <w:rPr>
          <w:rFonts w:cs="Arial"/>
          <w:sz w:val="22"/>
          <w:szCs w:val="22"/>
          <w:lang w:eastAsia="sl-SI"/>
        </w:rPr>
      </w:pPr>
      <w:r>
        <w:rPr>
          <w:rFonts w:cs="Arial"/>
          <w:sz w:val="22"/>
          <w:szCs w:val="22"/>
          <w:lang w:eastAsia="sl-SI"/>
        </w:rPr>
        <w:t xml:space="preserve">Št. </w:t>
      </w:r>
    </w:p>
    <w:p w:rsidR="00A743EC" w:rsidRDefault="00A743EC" w:rsidP="00A743EC">
      <w:pPr>
        <w:spacing w:before="240" w:line="240" w:lineRule="auto"/>
        <w:rPr>
          <w:rFonts w:cs="Arial"/>
          <w:sz w:val="22"/>
          <w:szCs w:val="22"/>
          <w:lang w:eastAsia="sl-SI"/>
        </w:rPr>
      </w:pPr>
      <w:r>
        <w:rPr>
          <w:rFonts w:cs="Arial"/>
          <w:sz w:val="22"/>
          <w:szCs w:val="22"/>
          <w:lang w:eastAsia="sl-SI"/>
        </w:rPr>
        <w:t>Ljubljana, …</w:t>
      </w:r>
    </w:p>
    <w:p w:rsidR="00A743EC" w:rsidRDefault="00A743EC" w:rsidP="00A743EC">
      <w:pPr>
        <w:spacing w:before="240" w:line="240" w:lineRule="auto"/>
        <w:rPr>
          <w:rFonts w:cs="Arial"/>
          <w:sz w:val="22"/>
          <w:szCs w:val="22"/>
          <w:lang w:eastAsia="sl-SI"/>
        </w:rPr>
      </w:pPr>
      <w:r>
        <w:rPr>
          <w:rFonts w:cs="Arial"/>
          <w:iCs/>
          <w:sz w:val="22"/>
          <w:szCs w:val="22"/>
        </w:rPr>
        <w:t xml:space="preserve">EVA </w:t>
      </w:r>
      <w:r>
        <w:rPr>
          <w:rFonts w:eastAsiaTheme="minorHAnsi" w:cs="Arial"/>
          <w:color w:val="000000"/>
          <w:sz w:val="22"/>
          <w:szCs w:val="22"/>
        </w:rPr>
        <w:t>2017-3330-0013</w:t>
      </w:r>
    </w:p>
    <w:p w:rsidR="00A743EC" w:rsidRDefault="00A743EC" w:rsidP="00A743EC">
      <w:pPr>
        <w:widowControl w:val="0"/>
        <w:autoSpaceDE w:val="0"/>
        <w:autoSpaceDN w:val="0"/>
        <w:adjustRightInd w:val="0"/>
        <w:spacing w:line="240" w:lineRule="exact"/>
        <w:ind w:left="23"/>
        <w:jc w:val="center"/>
        <w:rPr>
          <w:rFonts w:cs="Arial"/>
          <w:sz w:val="22"/>
          <w:szCs w:val="22"/>
        </w:rPr>
      </w:pPr>
      <w:r>
        <w:rPr>
          <w:rFonts w:cs="Arial"/>
          <w:sz w:val="22"/>
          <w:szCs w:val="22"/>
          <w:lang w:eastAsia="sl-SI"/>
        </w:rPr>
        <w:t xml:space="preserve">                                                                     </w:t>
      </w:r>
      <w:r>
        <w:rPr>
          <w:rFonts w:cs="Arial"/>
          <w:sz w:val="22"/>
          <w:szCs w:val="22"/>
        </w:rPr>
        <w:t>Vlada Republike Slovenije</w:t>
      </w:r>
    </w:p>
    <w:p w:rsidR="00A743EC" w:rsidRDefault="00A743EC" w:rsidP="00A743EC">
      <w:pPr>
        <w:widowControl w:val="0"/>
        <w:tabs>
          <w:tab w:val="left" w:pos="7943"/>
        </w:tabs>
        <w:autoSpaceDE w:val="0"/>
        <w:autoSpaceDN w:val="0"/>
        <w:adjustRightInd w:val="0"/>
        <w:spacing w:line="240" w:lineRule="exact"/>
        <w:jc w:val="center"/>
        <w:rPr>
          <w:rFonts w:cs="Arial"/>
          <w:bCs/>
          <w:sz w:val="22"/>
          <w:szCs w:val="22"/>
        </w:rPr>
      </w:pPr>
      <w:r>
        <w:rPr>
          <w:rFonts w:cs="Arial"/>
          <w:bCs/>
          <w:sz w:val="22"/>
          <w:szCs w:val="22"/>
        </w:rPr>
        <w:t xml:space="preserve">                                                                         dr. Miroslav Cerar</w:t>
      </w:r>
    </w:p>
    <w:p w:rsidR="00A743EC" w:rsidRDefault="00A743EC" w:rsidP="00A743EC">
      <w:pPr>
        <w:spacing w:line="240" w:lineRule="auto"/>
        <w:jc w:val="center"/>
        <w:rPr>
          <w:rFonts w:cs="Arial"/>
          <w:sz w:val="22"/>
          <w:szCs w:val="22"/>
          <w:lang w:eastAsia="sl-SI"/>
        </w:rPr>
      </w:pPr>
      <w:r>
        <w:rPr>
          <w:rFonts w:cs="Arial"/>
          <w:sz w:val="22"/>
          <w:szCs w:val="22"/>
          <w:lang w:eastAsia="sl-SI"/>
        </w:rPr>
        <w:t xml:space="preserve">                                                                   Predsednik</w:t>
      </w:r>
    </w:p>
    <w:p w:rsidR="00A743EC" w:rsidRDefault="00A743EC" w:rsidP="00A743EC">
      <w:pPr>
        <w:spacing w:line="240" w:lineRule="auto"/>
        <w:jc w:val="center"/>
        <w:rPr>
          <w:sz w:val="22"/>
          <w:szCs w:val="22"/>
        </w:rPr>
      </w:pPr>
      <w:r>
        <w:rPr>
          <w:rFonts w:cs="Arial"/>
          <w:sz w:val="22"/>
          <w:szCs w:val="22"/>
          <w:lang w:eastAsia="sl-SI"/>
        </w:rPr>
        <w:t xml:space="preserve">                                                                           </w:t>
      </w:r>
    </w:p>
    <w:p w:rsidR="00A743EC" w:rsidRDefault="00A743EC" w:rsidP="00A743EC">
      <w:pPr>
        <w:tabs>
          <w:tab w:val="left" w:pos="708"/>
        </w:tabs>
      </w:pPr>
    </w:p>
    <w:p w:rsidR="00A743EC" w:rsidRDefault="00A743EC" w:rsidP="00A743EC">
      <w:pPr>
        <w:spacing w:after="160" w:line="256" w:lineRule="auto"/>
      </w:pPr>
      <w:r>
        <w:br w:type="page"/>
      </w:r>
    </w:p>
    <w:p w:rsidR="00A743EC" w:rsidRDefault="00A743EC" w:rsidP="00A743EC"/>
    <w:p w:rsidR="00A743EC" w:rsidRDefault="00A743EC" w:rsidP="00A743EC">
      <w:pPr>
        <w:spacing w:before="240" w:line="240" w:lineRule="auto"/>
        <w:jc w:val="center"/>
        <w:rPr>
          <w:rFonts w:cs="Arial"/>
          <w:b/>
          <w:bCs/>
          <w:noProof/>
          <w:sz w:val="22"/>
          <w:szCs w:val="22"/>
          <w:lang w:eastAsia="sl-SI"/>
        </w:rPr>
      </w:pPr>
      <w:r>
        <w:rPr>
          <w:rFonts w:cs="Arial"/>
          <w:b/>
          <w:noProof/>
          <w:color w:val="000000"/>
          <w:sz w:val="22"/>
          <w:szCs w:val="22"/>
          <w:lang w:eastAsia="sl-SI"/>
        </w:rPr>
        <w:t>OBRAZLOŽITEV</w:t>
      </w:r>
      <w:r>
        <w:rPr>
          <w:rFonts w:cs="Arial"/>
          <w:b/>
          <w:bCs/>
          <w:noProof/>
          <w:sz w:val="22"/>
          <w:szCs w:val="22"/>
          <w:lang w:eastAsia="sl-SI"/>
        </w:rPr>
        <w:t xml:space="preserve"> </w:t>
      </w:r>
    </w:p>
    <w:p w:rsidR="00A743EC" w:rsidRDefault="00A743EC" w:rsidP="00A743EC">
      <w:pPr>
        <w:spacing w:before="240" w:line="240" w:lineRule="auto"/>
        <w:jc w:val="both"/>
        <w:rPr>
          <w:sz w:val="22"/>
          <w:szCs w:val="22"/>
        </w:rPr>
      </w:pPr>
    </w:p>
    <w:p w:rsidR="00A743EC" w:rsidRDefault="00A743EC" w:rsidP="00A743EC">
      <w:pPr>
        <w:pStyle w:val="odstavek1"/>
        <w:ind w:firstLine="0"/>
      </w:pPr>
      <w:r>
        <w:t xml:space="preserve">Zakon o raziskovalni in razvojni dejavnosti (Uradni list RS, št. 22/06 – uradno prečiščeno besedilo, 61/06 – ZDru-1, 112/07, 9/11 in 57/12 – ZPOP-1A) v določbah 13. člena določa, da </w:t>
      </w:r>
      <w:r>
        <w:rPr>
          <w:lang w:val="x-none"/>
        </w:rPr>
        <w:t>normative in standarde ter merila za določanje sredstev za financiranje Raziskovalne in inovacijske strategije Slovenije po tem zakonu sprejme Vlada Republike Slovenije na predlog ministra, pristojnega za znanost, oziroma ministra, pristojnega za tehnologijo. Z normativi in standardi se podrobneje določi pogoje, kriterije, merila za določitev obsega sredstev za izvedbo raziskovalnih in razvojnih programov in projektov, ki se izvajajo v okviru Raziskovalne in inovacijske strategije Slovenije in spremljanje ter poraba proračunskih sredstev.</w:t>
      </w:r>
    </w:p>
    <w:p w:rsidR="00A743EC" w:rsidRDefault="00A743EC" w:rsidP="00A743EC">
      <w:pPr>
        <w:spacing w:before="240" w:line="240" w:lineRule="auto"/>
        <w:jc w:val="both"/>
        <w:rPr>
          <w:rFonts w:cs="Arial"/>
          <w:b/>
          <w:bCs/>
          <w:noProof/>
          <w:sz w:val="22"/>
          <w:szCs w:val="22"/>
          <w:lang w:eastAsia="sl-SI"/>
        </w:rPr>
      </w:pPr>
      <w:r>
        <w:rPr>
          <w:sz w:val="22"/>
          <w:szCs w:val="22"/>
        </w:rPr>
        <w:t>Uredba o normativih in standardih za določanje sredstev za izvajanje raziskovalne dejavnosti, financirane iz Proračuna Republike Slovenije (Uradni list RS, št. 103/11, 56/12, 15/14 in 103/15), ki jo je sprejela Vlada Republike Slovenije,</w:t>
      </w:r>
      <w:r>
        <w:rPr>
          <w:sz w:val="22"/>
          <w:szCs w:val="22"/>
          <w:lang w:val="x-none"/>
        </w:rPr>
        <w:t xml:space="preserve"> določa normative in standarde, kot podlago za določitev obsega sredstev za izvajanje raziskovalne dejavnosti v obliki raziskovalnih programov, raziskovalnih projektov, infrastrukturnih programov, programa usposabljanja mladih raziskovalcev, ustanoviteljskih obveznosti in ostalih povračil v zvezi z delom in drugih osebnih prejemkov, katerih izvaja</w:t>
      </w:r>
      <w:r w:rsidR="00EE551A">
        <w:rPr>
          <w:sz w:val="22"/>
          <w:szCs w:val="22"/>
        </w:rPr>
        <w:t>n</w:t>
      </w:r>
      <w:r>
        <w:rPr>
          <w:sz w:val="22"/>
          <w:szCs w:val="22"/>
          <w:lang w:val="x-none"/>
        </w:rPr>
        <w:t>je se financira iz Proračuna Republike Slovenije, za določitev cene ekvivalenta polne zaposlitve ter za spremljanje in porabo sredstev proračuna.</w:t>
      </w:r>
    </w:p>
    <w:p w:rsidR="00A743EC" w:rsidRDefault="00A743EC" w:rsidP="00A743EC">
      <w:pPr>
        <w:spacing w:before="240" w:line="240" w:lineRule="auto"/>
        <w:jc w:val="both"/>
        <w:rPr>
          <w:rFonts w:cs="Arial"/>
          <w:bCs/>
          <w:noProof/>
          <w:sz w:val="22"/>
          <w:szCs w:val="22"/>
          <w:lang w:eastAsia="sl-SI"/>
        </w:rPr>
      </w:pPr>
      <w:r>
        <w:rPr>
          <w:rFonts w:cs="Arial"/>
          <w:bCs/>
          <w:noProof/>
          <w:sz w:val="22"/>
          <w:szCs w:val="22"/>
          <w:lang w:eastAsia="sl-SI"/>
        </w:rPr>
        <w:t xml:space="preserve">Javna agencija za raziskovalno dejavnost Republike Slovenije je z dopisom št. 007-2/2017-2 z dne 3.2.2017 na Ministrstvo za izobraževanje, znanost in šport posredovala predlog </w:t>
      </w:r>
      <w:r>
        <w:rPr>
          <w:rFonts w:cs="Arial"/>
          <w:bCs/>
          <w:sz w:val="22"/>
          <w:szCs w:val="22"/>
          <w:lang w:eastAsia="sl-SI"/>
        </w:rPr>
        <w:t>sprememb in dopolnitev Uredbe o normativih in standardih za določanje sredstev za izvajanje raziskovalne dejavnosti, financirane iz Proračuna Republike Slovenije</w:t>
      </w:r>
      <w:r w:rsidR="00EE551A">
        <w:rPr>
          <w:rFonts w:cs="Arial"/>
          <w:bCs/>
          <w:sz w:val="22"/>
          <w:szCs w:val="22"/>
          <w:lang w:eastAsia="sl-SI"/>
        </w:rPr>
        <w:t>,</w:t>
      </w:r>
      <w:r>
        <w:rPr>
          <w:rFonts w:cs="Arial"/>
          <w:bCs/>
          <w:sz w:val="22"/>
          <w:szCs w:val="22"/>
          <w:lang w:eastAsia="sl-SI"/>
        </w:rPr>
        <w:t xml:space="preserve"> z zaprosilom za posredovanje v sprejem Vladi Republike Slovenije.</w:t>
      </w:r>
    </w:p>
    <w:p w:rsidR="00A743EC" w:rsidRDefault="00A743EC" w:rsidP="00A743EC">
      <w:pPr>
        <w:shd w:val="clear" w:color="auto" w:fill="FFFFFF"/>
        <w:rPr>
          <w:color w:val="000000"/>
          <w:spacing w:val="1"/>
          <w:sz w:val="22"/>
          <w:szCs w:val="22"/>
        </w:rPr>
      </w:pPr>
    </w:p>
    <w:p w:rsidR="00A743EC" w:rsidRDefault="00A743EC" w:rsidP="00A743EC">
      <w:pPr>
        <w:shd w:val="clear" w:color="auto" w:fill="FFFFFF"/>
        <w:rPr>
          <w:color w:val="000000"/>
          <w:spacing w:val="1"/>
          <w:sz w:val="22"/>
          <w:szCs w:val="22"/>
        </w:rPr>
      </w:pPr>
      <w:r>
        <w:rPr>
          <w:color w:val="000000"/>
          <w:spacing w:val="1"/>
          <w:sz w:val="22"/>
          <w:szCs w:val="22"/>
        </w:rPr>
        <w:t>Predlagane spremembe in dopolnite uredbe obsegajo:</w:t>
      </w:r>
    </w:p>
    <w:p w:rsidR="00A743EC" w:rsidRDefault="00A743EC" w:rsidP="00A743EC">
      <w:pPr>
        <w:shd w:val="clear" w:color="auto" w:fill="FFFFFF"/>
        <w:rPr>
          <w:sz w:val="22"/>
          <w:szCs w:val="22"/>
        </w:rPr>
      </w:pPr>
    </w:p>
    <w:p w:rsidR="00A743EC" w:rsidRDefault="00A743EC" w:rsidP="00EE551A">
      <w:pPr>
        <w:shd w:val="clear" w:color="auto" w:fill="FFFFFF"/>
        <w:tabs>
          <w:tab w:val="left" w:pos="773"/>
        </w:tabs>
        <w:spacing w:line="254" w:lineRule="exact"/>
        <w:ind w:left="773" w:hanging="341"/>
        <w:jc w:val="both"/>
        <w:rPr>
          <w:sz w:val="22"/>
          <w:szCs w:val="22"/>
        </w:rPr>
      </w:pPr>
      <w:r>
        <w:rPr>
          <w:bCs/>
          <w:color w:val="000000"/>
          <w:spacing w:val="-12"/>
          <w:sz w:val="22"/>
          <w:szCs w:val="22"/>
        </w:rPr>
        <w:t>1.</w:t>
      </w:r>
      <w:r>
        <w:rPr>
          <w:bCs/>
          <w:color w:val="000000"/>
          <w:sz w:val="22"/>
          <w:szCs w:val="22"/>
        </w:rPr>
        <w:tab/>
      </w:r>
      <w:r>
        <w:rPr>
          <w:bCs/>
          <w:color w:val="000000"/>
          <w:spacing w:val="6"/>
          <w:sz w:val="22"/>
          <w:szCs w:val="22"/>
        </w:rPr>
        <w:t>Določitev nižje vrednosti opreme, vrednost »200.000 evrov« se nadomesti z</w:t>
      </w:r>
      <w:r>
        <w:rPr>
          <w:bCs/>
          <w:color w:val="000000"/>
          <w:spacing w:val="6"/>
          <w:sz w:val="22"/>
          <w:szCs w:val="22"/>
        </w:rPr>
        <w:br/>
      </w:r>
      <w:r>
        <w:rPr>
          <w:bCs/>
          <w:color w:val="000000"/>
          <w:spacing w:val="1"/>
          <w:sz w:val="22"/>
          <w:szCs w:val="22"/>
        </w:rPr>
        <w:t>vrednostjo »50.000 evrov«</w:t>
      </w:r>
    </w:p>
    <w:p w:rsidR="00A743EC" w:rsidRDefault="00A743EC" w:rsidP="00A743EC">
      <w:pPr>
        <w:shd w:val="clear" w:color="auto" w:fill="FFFFFF"/>
        <w:ind w:left="773"/>
        <w:rPr>
          <w:sz w:val="22"/>
          <w:szCs w:val="22"/>
        </w:rPr>
      </w:pPr>
      <w:r>
        <w:rPr>
          <w:color w:val="000000"/>
          <w:spacing w:val="-1"/>
          <w:sz w:val="22"/>
          <w:szCs w:val="22"/>
        </w:rPr>
        <w:t>Obrazložitev:</w:t>
      </w:r>
    </w:p>
    <w:p w:rsidR="00A743EC" w:rsidRDefault="00A743EC" w:rsidP="00A743EC">
      <w:pPr>
        <w:shd w:val="clear" w:color="auto" w:fill="FFFFFF"/>
        <w:spacing w:line="245" w:lineRule="exact"/>
        <w:ind w:left="773" w:right="110"/>
        <w:jc w:val="both"/>
        <w:rPr>
          <w:color w:val="000000"/>
          <w:sz w:val="22"/>
          <w:szCs w:val="22"/>
        </w:rPr>
      </w:pPr>
      <w:r>
        <w:rPr>
          <w:color w:val="000000"/>
          <w:sz w:val="22"/>
          <w:szCs w:val="22"/>
          <w:lang w:val="en-US"/>
        </w:rPr>
        <w:t xml:space="preserve">V </w:t>
      </w:r>
      <w:r>
        <w:rPr>
          <w:color w:val="000000"/>
          <w:sz w:val="22"/>
          <w:szCs w:val="22"/>
        </w:rPr>
        <w:t xml:space="preserve">raziskavah v Sloveniji se zelo redko uporablja raziskovalna </w:t>
      </w:r>
      <w:proofErr w:type="gramStart"/>
      <w:r>
        <w:rPr>
          <w:color w:val="000000"/>
          <w:sz w:val="22"/>
          <w:szCs w:val="22"/>
        </w:rPr>
        <w:t>ali</w:t>
      </w:r>
      <w:proofErr w:type="gramEnd"/>
      <w:r>
        <w:rPr>
          <w:color w:val="000000"/>
          <w:sz w:val="22"/>
          <w:szCs w:val="22"/>
        </w:rPr>
        <w:t xml:space="preserve"> druga infrastrukturna</w:t>
      </w:r>
      <w:r>
        <w:rPr>
          <w:color w:val="000000"/>
          <w:sz w:val="22"/>
          <w:szCs w:val="22"/>
        </w:rPr>
        <w:br/>
      </w:r>
      <w:r>
        <w:rPr>
          <w:color w:val="000000"/>
          <w:spacing w:val="6"/>
          <w:sz w:val="22"/>
          <w:szCs w:val="22"/>
        </w:rPr>
        <w:t>oprema, kjer so vrednosti posameznih instrumentov nad 200.000 EUR, zato</w:t>
      </w:r>
      <w:r>
        <w:rPr>
          <w:color w:val="000000"/>
          <w:spacing w:val="6"/>
          <w:sz w:val="22"/>
          <w:szCs w:val="22"/>
        </w:rPr>
        <w:br/>
      </w:r>
      <w:r>
        <w:rPr>
          <w:color w:val="000000"/>
          <w:spacing w:val="3"/>
          <w:sz w:val="22"/>
          <w:szCs w:val="22"/>
        </w:rPr>
        <w:t>predlagamo širitev nabora tovrstnih primerov na vso opremo, katerih vrednosti</w:t>
      </w:r>
      <w:r>
        <w:rPr>
          <w:color w:val="000000"/>
          <w:spacing w:val="3"/>
          <w:sz w:val="22"/>
          <w:szCs w:val="22"/>
        </w:rPr>
        <w:br/>
      </w:r>
      <w:r>
        <w:rPr>
          <w:color w:val="000000"/>
          <w:sz w:val="22"/>
          <w:szCs w:val="22"/>
        </w:rPr>
        <w:t>posameznih instrumentov presegajo vrednost 50.000 EUR.</w:t>
      </w:r>
    </w:p>
    <w:p w:rsidR="00A743EC" w:rsidRDefault="00A743EC" w:rsidP="00A743EC">
      <w:pPr>
        <w:shd w:val="clear" w:color="auto" w:fill="FFFFFF"/>
        <w:spacing w:line="245" w:lineRule="exact"/>
        <w:ind w:left="773" w:right="110"/>
        <w:jc w:val="both"/>
        <w:rPr>
          <w:sz w:val="22"/>
          <w:szCs w:val="22"/>
        </w:rPr>
      </w:pPr>
    </w:p>
    <w:p w:rsidR="00A743EC" w:rsidRDefault="00A743EC" w:rsidP="00EE551A">
      <w:pPr>
        <w:shd w:val="clear" w:color="auto" w:fill="FFFFFF"/>
        <w:tabs>
          <w:tab w:val="left" w:pos="773"/>
        </w:tabs>
        <w:spacing w:line="245" w:lineRule="exact"/>
        <w:ind w:left="773" w:hanging="341"/>
        <w:jc w:val="both"/>
        <w:rPr>
          <w:sz w:val="22"/>
          <w:szCs w:val="22"/>
        </w:rPr>
      </w:pPr>
      <w:r>
        <w:rPr>
          <w:bCs/>
          <w:i/>
          <w:iCs/>
          <w:color w:val="000000"/>
          <w:spacing w:val="-8"/>
          <w:sz w:val="22"/>
          <w:szCs w:val="22"/>
        </w:rPr>
        <w:t>2.</w:t>
      </w:r>
      <w:r>
        <w:rPr>
          <w:bCs/>
          <w:i/>
          <w:iCs/>
          <w:color w:val="000000"/>
          <w:sz w:val="22"/>
          <w:szCs w:val="22"/>
        </w:rPr>
        <w:tab/>
      </w:r>
      <w:r>
        <w:rPr>
          <w:bCs/>
          <w:color w:val="000000"/>
          <w:spacing w:val="8"/>
          <w:sz w:val="22"/>
          <w:szCs w:val="22"/>
        </w:rPr>
        <w:t>Višje vrednosti točk v zvezi s posebnimi pogoji pri izvajanju raziskovalnih</w:t>
      </w:r>
      <w:r>
        <w:rPr>
          <w:bCs/>
          <w:color w:val="000000"/>
          <w:spacing w:val="8"/>
          <w:sz w:val="22"/>
          <w:szCs w:val="22"/>
        </w:rPr>
        <w:br/>
      </w:r>
      <w:r>
        <w:rPr>
          <w:bCs/>
          <w:color w:val="000000"/>
          <w:spacing w:val="1"/>
          <w:sz w:val="22"/>
          <w:szCs w:val="22"/>
        </w:rPr>
        <w:t>programov oziroma projektov, zviša se maksimalno število točk, »3 oziroma 4«</w:t>
      </w:r>
      <w:r>
        <w:rPr>
          <w:bCs/>
          <w:color w:val="000000"/>
          <w:spacing w:val="1"/>
          <w:sz w:val="22"/>
          <w:szCs w:val="22"/>
        </w:rPr>
        <w:br/>
        <w:t>se nadomesti z »5«</w:t>
      </w:r>
    </w:p>
    <w:p w:rsidR="00A743EC" w:rsidRDefault="00A743EC" w:rsidP="00A743EC">
      <w:pPr>
        <w:shd w:val="clear" w:color="auto" w:fill="FFFFFF"/>
        <w:spacing w:line="240" w:lineRule="exact"/>
        <w:ind w:left="782"/>
        <w:rPr>
          <w:sz w:val="22"/>
          <w:szCs w:val="22"/>
        </w:rPr>
      </w:pPr>
      <w:r>
        <w:rPr>
          <w:color w:val="000000"/>
          <w:sz w:val="22"/>
          <w:szCs w:val="22"/>
        </w:rPr>
        <w:t>Obrazložitev:</w:t>
      </w:r>
    </w:p>
    <w:p w:rsidR="00A743EC" w:rsidRPr="00EE551A" w:rsidRDefault="00A743EC" w:rsidP="00EE551A">
      <w:pPr>
        <w:shd w:val="clear" w:color="auto" w:fill="FFFFFF"/>
        <w:spacing w:line="240" w:lineRule="exact"/>
        <w:ind w:left="773"/>
        <w:rPr>
          <w:sz w:val="22"/>
          <w:szCs w:val="22"/>
        </w:rPr>
      </w:pPr>
      <w:r>
        <w:rPr>
          <w:color w:val="000000"/>
          <w:spacing w:val="7"/>
          <w:sz w:val="22"/>
          <w:szCs w:val="22"/>
        </w:rPr>
        <w:t>Točkovanje programov oziroma projektov glede na posebne pogoje se uskladi z</w:t>
      </w:r>
      <w:r w:rsidR="00EE551A">
        <w:rPr>
          <w:sz w:val="22"/>
          <w:szCs w:val="22"/>
        </w:rPr>
        <w:t xml:space="preserve"> </w:t>
      </w:r>
      <w:r>
        <w:rPr>
          <w:color w:val="000000"/>
          <w:spacing w:val="1"/>
          <w:sz w:val="22"/>
          <w:szCs w:val="22"/>
        </w:rPr>
        <w:t>načinom vrednotenja oziroma točkovanja ostalih kriterijev.</w:t>
      </w:r>
    </w:p>
    <w:p w:rsidR="00A743EC" w:rsidRDefault="00A743EC" w:rsidP="00A743EC">
      <w:pPr>
        <w:shd w:val="clear" w:color="auto" w:fill="FFFFFF"/>
        <w:spacing w:line="240" w:lineRule="exact"/>
        <w:ind w:left="773"/>
        <w:rPr>
          <w:sz w:val="22"/>
          <w:szCs w:val="22"/>
        </w:rPr>
      </w:pPr>
    </w:p>
    <w:p w:rsidR="00A743EC" w:rsidRDefault="00A743EC" w:rsidP="00A743EC">
      <w:pPr>
        <w:shd w:val="clear" w:color="auto" w:fill="FFFFFF"/>
        <w:tabs>
          <w:tab w:val="left" w:pos="773"/>
        </w:tabs>
        <w:spacing w:line="245" w:lineRule="exact"/>
        <w:ind w:left="773" w:hanging="341"/>
        <w:rPr>
          <w:sz w:val="22"/>
          <w:szCs w:val="22"/>
        </w:rPr>
      </w:pPr>
      <w:r>
        <w:rPr>
          <w:bCs/>
          <w:color w:val="000000"/>
          <w:spacing w:val="-8"/>
          <w:sz w:val="22"/>
          <w:szCs w:val="22"/>
        </w:rPr>
        <w:t>3.</w:t>
      </w:r>
      <w:r>
        <w:rPr>
          <w:bCs/>
          <w:color w:val="000000"/>
          <w:sz w:val="22"/>
          <w:szCs w:val="22"/>
        </w:rPr>
        <w:tab/>
      </w:r>
      <w:r>
        <w:rPr>
          <w:bCs/>
          <w:color w:val="000000"/>
          <w:spacing w:val="6"/>
          <w:sz w:val="22"/>
          <w:szCs w:val="22"/>
        </w:rPr>
        <w:t>Uskladitev mejnih vrednosti kategorij za določitev stopnje opremljenosti in</w:t>
      </w:r>
      <w:r>
        <w:rPr>
          <w:bCs/>
          <w:color w:val="000000"/>
          <w:spacing w:val="6"/>
          <w:sz w:val="22"/>
          <w:szCs w:val="22"/>
        </w:rPr>
        <w:br/>
      </w:r>
      <w:r>
        <w:rPr>
          <w:bCs/>
          <w:color w:val="000000"/>
          <w:sz w:val="22"/>
          <w:szCs w:val="22"/>
        </w:rPr>
        <w:t>ureditev možnosti spremembe cenovne kategorije med izvajanjem</w:t>
      </w:r>
    </w:p>
    <w:p w:rsidR="00A743EC" w:rsidRDefault="00A743EC" w:rsidP="00A743EC">
      <w:pPr>
        <w:shd w:val="clear" w:color="auto" w:fill="FFFFFF"/>
        <w:ind w:firstLine="708"/>
        <w:rPr>
          <w:sz w:val="22"/>
          <w:szCs w:val="22"/>
        </w:rPr>
      </w:pPr>
      <w:r>
        <w:rPr>
          <w:color w:val="000000"/>
          <w:sz w:val="22"/>
          <w:szCs w:val="22"/>
        </w:rPr>
        <w:t>Obrazložitev:</w:t>
      </w:r>
    </w:p>
    <w:p w:rsidR="00A743EC" w:rsidRDefault="00A743EC" w:rsidP="00A743EC">
      <w:pPr>
        <w:shd w:val="clear" w:color="auto" w:fill="FFFFFF"/>
        <w:spacing w:line="240" w:lineRule="exact"/>
        <w:ind w:left="715"/>
        <w:jc w:val="both"/>
        <w:rPr>
          <w:sz w:val="22"/>
          <w:szCs w:val="22"/>
        </w:rPr>
      </w:pPr>
      <w:r>
        <w:rPr>
          <w:color w:val="000000"/>
          <w:spacing w:val="3"/>
          <w:sz w:val="22"/>
          <w:szCs w:val="22"/>
        </w:rPr>
        <w:t>Mejne vrednosti seštevka točk za posamezno kategorijo se uskladi tako, da isti</w:t>
      </w:r>
      <w:r>
        <w:rPr>
          <w:color w:val="000000"/>
          <w:spacing w:val="3"/>
          <w:sz w:val="22"/>
          <w:szCs w:val="22"/>
        </w:rPr>
        <w:br/>
      </w:r>
      <w:r>
        <w:rPr>
          <w:color w:val="000000"/>
          <w:spacing w:val="-1"/>
          <w:sz w:val="22"/>
          <w:szCs w:val="22"/>
        </w:rPr>
        <w:t>seštevek točk ne more pomeniti dveh različnih kategorij.</w:t>
      </w:r>
    </w:p>
    <w:p w:rsidR="00A743EC" w:rsidRDefault="00A743EC" w:rsidP="00A743EC">
      <w:pPr>
        <w:shd w:val="clear" w:color="auto" w:fill="FFFFFF"/>
        <w:spacing w:line="240" w:lineRule="exact"/>
        <w:ind w:left="701"/>
        <w:jc w:val="both"/>
        <w:rPr>
          <w:color w:val="000000"/>
          <w:spacing w:val="-1"/>
          <w:sz w:val="22"/>
          <w:szCs w:val="22"/>
        </w:rPr>
      </w:pPr>
      <w:r>
        <w:rPr>
          <w:color w:val="000000"/>
          <w:spacing w:val="8"/>
          <w:sz w:val="22"/>
          <w:szCs w:val="22"/>
          <w:lang w:val="en-US"/>
        </w:rPr>
        <w:t xml:space="preserve">V </w:t>
      </w:r>
      <w:r>
        <w:rPr>
          <w:color w:val="000000"/>
          <w:spacing w:val="8"/>
          <w:sz w:val="22"/>
          <w:szCs w:val="22"/>
        </w:rPr>
        <w:t>kolikor izvajalec oceni, da razmerje med elementi cene ekvivalenta polne</w:t>
      </w:r>
      <w:r>
        <w:rPr>
          <w:color w:val="000000"/>
          <w:spacing w:val="8"/>
          <w:sz w:val="22"/>
          <w:szCs w:val="22"/>
        </w:rPr>
        <w:br/>
      </w:r>
      <w:r>
        <w:rPr>
          <w:color w:val="000000"/>
          <w:spacing w:val="-1"/>
          <w:sz w:val="22"/>
          <w:szCs w:val="22"/>
        </w:rPr>
        <w:t>zaposlitve pri cenovni kategoriji, v katero je raziskovalni program oziroma raziskovalni</w:t>
      </w:r>
      <w:r>
        <w:rPr>
          <w:color w:val="000000"/>
          <w:spacing w:val="-1"/>
          <w:sz w:val="22"/>
          <w:szCs w:val="22"/>
        </w:rPr>
        <w:br/>
      </w:r>
      <w:r>
        <w:rPr>
          <w:color w:val="000000"/>
          <w:spacing w:val="1"/>
          <w:sz w:val="22"/>
          <w:szCs w:val="22"/>
        </w:rPr>
        <w:t xml:space="preserve">projekt uvrščen, </w:t>
      </w:r>
      <w:proofErr w:type="gramStart"/>
      <w:r>
        <w:rPr>
          <w:color w:val="000000"/>
          <w:spacing w:val="1"/>
          <w:sz w:val="22"/>
          <w:szCs w:val="22"/>
        </w:rPr>
        <w:t>ni</w:t>
      </w:r>
      <w:proofErr w:type="gramEnd"/>
      <w:r>
        <w:rPr>
          <w:color w:val="000000"/>
          <w:spacing w:val="1"/>
          <w:sz w:val="22"/>
          <w:szCs w:val="22"/>
        </w:rPr>
        <w:t xml:space="preserve"> ustrezno, lahko zaprosi za spremembo. Spremembo cenovne</w:t>
      </w:r>
      <w:r>
        <w:rPr>
          <w:color w:val="000000"/>
          <w:spacing w:val="1"/>
          <w:sz w:val="22"/>
          <w:szCs w:val="22"/>
        </w:rPr>
        <w:br/>
      </w:r>
      <w:r>
        <w:rPr>
          <w:color w:val="000000"/>
          <w:spacing w:val="-1"/>
          <w:sz w:val="22"/>
          <w:szCs w:val="22"/>
        </w:rPr>
        <w:t>kategorije se opravi tako, da se ohrani finančni obseg financiranja.</w:t>
      </w:r>
    </w:p>
    <w:p w:rsidR="00A743EC" w:rsidRDefault="00A743EC" w:rsidP="00A743EC">
      <w:pPr>
        <w:shd w:val="clear" w:color="auto" w:fill="FFFFFF"/>
        <w:spacing w:line="240" w:lineRule="exact"/>
        <w:ind w:left="701"/>
        <w:jc w:val="both"/>
        <w:rPr>
          <w:sz w:val="22"/>
          <w:szCs w:val="22"/>
        </w:rPr>
      </w:pPr>
    </w:p>
    <w:p w:rsidR="00A743EC" w:rsidRDefault="00A743EC" w:rsidP="00A743EC">
      <w:pPr>
        <w:shd w:val="clear" w:color="auto" w:fill="FFFFFF"/>
        <w:ind w:left="370"/>
        <w:rPr>
          <w:sz w:val="22"/>
          <w:szCs w:val="22"/>
        </w:rPr>
      </w:pPr>
      <w:r>
        <w:rPr>
          <w:bCs/>
          <w:color w:val="000000"/>
          <w:spacing w:val="-5"/>
          <w:sz w:val="22"/>
          <w:szCs w:val="22"/>
        </w:rPr>
        <w:t>4.   Uskladitev financiranja programa mladih raziskovalcev s predpisi</w:t>
      </w:r>
    </w:p>
    <w:p w:rsidR="00A743EC" w:rsidRDefault="00A743EC" w:rsidP="00A743EC">
      <w:pPr>
        <w:shd w:val="clear" w:color="auto" w:fill="FFFFFF"/>
        <w:spacing w:line="245" w:lineRule="exact"/>
        <w:ind w:left="710"/>
        <w:rPr>
          <w:sz w:val="22"/>
          <w:szCs w:val="22"/>
        </w:rPr>
      </w:pPr>
      <w:r>
        <w:rPr>
          <w:color w:val="000000"/>
          <w:spacing w:val="-2"/>
          <w:sz w:val="22"/>
          <w:szCs w:val="22"/>
        </w:rPr>
        <w:t>Obrazložitev:</w:t>
      </w:r>
    </w:p>
    <w:p w:rsidR="00A743EC" w:rsidRDefault="00A743EC" w:rsidP="00A743EC">
      <w:pPr>
        <w:shd w:val="clear" w:color="auto" w:fill="FFFFFF"/>
        <w:spacing w:line="245" w:lineRule="exact"/>
        <w:ind w:left="696" w:right="14"/>
        <w:jc w:val="both"/>
        <w:rPr>
          <w:color w:val="000000"/>
          <w:sz w:val="22"/>
          <w:szCs w:val="22"/>
        </w:rPr>
      </w:pPr>
      <w:r>
        <w:rPr>
          <w:color w:val="000000"/>
          <w:spacing w:val="1"/>
          <w:sz w:val="22"/>
          <w:szCs w:val="22"/>
        </w:rPr>
        <w:t xml:space="preserve">Usposabljanje mladih raziskovalcev skladno s 116. členom veljavnega Pravilnika o postopkih </w:t>
      </w:r>
      <w:r>
        <w:rPr>
          <w:color w:val="000000"/>
          <w:sz w:val="22"/>
          <w:szCs w:val="22"/>
        </w:rPr>
        <w:t xml:space="preserve">(so)financiranja in ocenjevanja ter spremljanju izvajanja raziskovalne dejavnosti traja štiri leta. Upošteva se, da je mladi raziskovalec prva tri leta usposabljanja uvrščen na </w:t>
      </w:r>
      <w:r>
        <w:rPr>
          <w:color w:val="000000"/>
          <w:spacing w:val="-1"/>
          <w:sz w:val="22"/>
          <w:szCs w:val="22"/>
        </w:rPr>
        <w:t xml:space="preserve">delovno mesto mladi raziskovalec s 30. plačnim razredom. Skladno s pravili o rednem </w:t>
      </w:r>
      <w:r>
        <w:rPr>
          <w:color w:val="000000"/>
          <w:sz w:val="22"/>
          <w:szCs w:val="22"/>
        </w:rPr>
        <w:t xml:space="preserve">napredovanju v javnem sektorju se za zadnje leto usposabljanja upošteva 32. plačni </w:t>
      </w:r>
      <w:r>
        <w:rPr>
          <w:color w:val="000000"/>
          <w:spacing w:val="3"/>
          <w:sz w:val="22"/>
          <w:szCs w:val="22"/>
        </w:rPr>
        <w:t xml:space="preserve">razred. Pri izračunu višine sredstev za plače mladih raziskovalcev se upošteva </w:t>
      </w:r>
      <w:r>
        <w:rPr>
          <w:color w:val="000000"/>
          <w:sz w:val="22"/>
          <w:szCs w:val="22"/>
        </w:rPr>
        <w:t>povprečni odstotek delovne dobe za celotno obdobje usposabljanja.</w:t>
      </w:r>
    </w:p>
    <w:p w:rsidR="00A743EC" w:rsidRDefault="00A743EC" w:rsidP="00A743EC">
      <w:pPr>
        <w:shd w:val="clear" w:color="auto" w:fill="FFFFFF"/>
        <w:spacing w:line="245" w:lineRule="exact"/>
        <w:ind w:left="696" w:right="14"/>
        <w:jc w:val="both"/>
        <w:rPr>
          <w:sz w:val="22"/>
          <w:szCs w:val="22"/>
        </w:rPr>
      </w:pPr>
    </w:p>
    <w:p w:rsidR="00A743EC" w:rsidRDefault="00A743EC" w:rsidP="00A743EC">
      <w:pPr>
        <w:shd w:val="clear" w:color="auto" w:fill="FFFFFF"/>
        <w:spacing w:line="240" w:lineRule="exact"/>
        <w:ind w:left="706" w:hanging="341"/>
        <w:rPr>
          <w:sz w:val="22"/>
          <w:szCs w:val="22"/>
        </w:rPr>
      </w:pPr>
      <w:r>
        <w:rPr>
          <w:bCs/>
          <w:color w:val="000000"/>
          <w:spacing w:val="-3"/>
          <w:sz w:val="22"/>
          <w:szCs w:val="22"/>
        </w:rPr>
        <w:t>5.   Besedna zveza »posrednih stroškov« se nadomesti z besedno zvezo »fiksnih</w:t>
      </w:r>
      <w:r>
        <w:rPr>
          <w:bCs/>
          <w:color w:val="000000"/>
          <w:spacing w:val="-3"/>
          <w:sz w:val="22"/>
          <w:szCs w:val="22"/>
        </w:rPr>
        <w:br/>
      </w:r>
      <w:r>
        <w:rPr>
          <w:bCs/>
          <w:color w:val="000000"/>
          <w:spacing w:val="-6"/>
          <w:sz w:val="22"/>
          <w:szCs w:val="22"/>
        </w:rPr>
        <w:t>stroškov in stroškov upravljanja«</w:t>
      </w:r>
    </w:p>
    <w:p w:rsidR="00A743EC" w:rsidRDefault="00A743EC" w:rsidP="00A743EC">
      <w:pPr>
        <w:shd w:val="clear" w:color="auto" w:fill="FFFFFF"/>
        <w:spacing w:line="245" w:lineRule="exact"/>
        <w:ind w:left="691"/>
        <w:rPr>
          <w:sz w:val="22"/>
          <w:szCs w:val="22"/>
        </w:rPr>
      </w:pPr>
      <w:r>
        <w:rPr>
          <w:color w:val="000000"/>
          <w:spacing w:val="-1"/>
          <w:sz w:val="22"/>
          <w:szCs w:val="22"/>
        </w:rPr>
        <w:t>Obrazložitev:</w:t>
      </w:r>
    </w:p>
    <w:p w:rsidR="00A743EC" w:rsidRPr="00EE551A" w:rsidRDefault="00A743EC" w:rsidP="00EE551A">
      <w:pPr>
        <w:shd w:val="clear" w:color="auto" w:fill="FFFFFF"/>
        <w:spacing w:line="245" w:lineRule="exact"/>
        <w:ind w:left="701"/>
        <w:rPr>
          <w:sz w:val="22"/>
          <w:szCs w:val="22"/>
        </w:rPr>
      </w:pPr>
      <w:r>
        <w:rPr>
          <w:color w:val="000000"/>
          <w:sz w:val="22"/>
          <w:szCs w:val="22"/>
        </w:rPr>
        <w:t>Z uporabo nove besedne zveze se določba prvega odstavka 36. člen uredbe uskladi z</w:t>
      </w:r>
      <w:r w:rsidR="00EE551A">
        <w:rPr>
          <w:sz w:val="22"/>
          <w:szCs w:val="22"/>
        </w:rPr>
        <w:t xml:space="preserve"> </w:t>
      </w:r>
      <w:r>
        <w:rPr>
          <w:color w:val="000000"/>
          <w:spacing w:val="-1"/>
          <w:sz w:val="22"/>
          <w:szCs w:val="22"/>
        </w:rPr>
        <w:t>besedno zvezo iz petega odstavka 33. člena uredbe, ki definira dovoljena odstopanja.</w:t>
      </w:r>
    </w:p>
    <w:p w:rsidR="00A743EC" w:rsidRDefault="00A743EC" w:rsidP="00A743EC">
      <w:pPr>
        <w:shd w:val="clear" w:color="auto" w:fill="FFFFFF"/>
        <w:spacing w:line="245" w:lineRule="exact"/>
        <w:ind w:left="701"/>
        <w:rPr>
          <w:sz w:val="22"/>
          <w:szCs w:val="22"/>
        </w:rPr>
      </w:pPr>
    </w:p>
    <w:p w:rsidR="00A743EC" w:rsidRDefault="00A743EC" w:rsidP="00A743EC">
      <w:pPr>
        <w:shd w:val="clear" w:color="auto" w:fill="FFFFFF"/>
        <w:ind w:left="350"/>
        <w:rPr>
          <w:sz w:val="22"/>
          <w:szCs w:val="22"/>
        </w:rPr>
      </w:pPr>
      <w:r>
        <w:rPr>
          <w:bCs/>
          <w:color w:val="000000"/>
          <w:spacing w:val="-4"/>
          <w:sz w:val="22"/>
          <w:szCs w:val="22"/>
        </w:rPr>
        <w:t>6.  Prehodna in končna določba</w:t>
      </w:r>
    </w:p>
    <w:p w:rsidR="00A743EC" w:rsidRDefault="00A743EC" w:rsidP="00A743EC">
      <w:pPr>
        <w:shd w:val="clear" w:color="auto" w:fill="FFFFFF"/>
        <w:spacing w:line="250" w:lineRule="exact"/>
        <w:ind w:left="691"/>
        <w:rPr>
          <w:sz w:val="22"/>
          <w:szCs w:val="22"/>
        </w:rPr>
      </w:pPr>
      <w:r>
        <w:rPr>
          <w:color w:val="000000"/>
          <w:spacing w:val="-1"/>
          <w:sz w:val="22"/>
          <w:szCs w:val="22"/>
        </w:rPr>
        <w:t>Obrazložitev:</w:t>
      </w:r>
    </w:p>
    <w:p w:rsidR="00A743EC" w:rsidRDefault="00487192" w:rsidP="00A743EC">
      <w:pPr>
        <w:shd w:val="clear" w:color="auto" w:fill="FFFFFF"/>
        <w:spacing w:line="250" w:lineRule="exact"/>
        <w:ind w:left="691"/>
        <w:rPr>
          <w:sz w:val="22"/>
          <w:szCs w:val="22"/>
        </w:rPr>
      </w:pPr>
      <w:r>
        <w:rPr>
          <w:color w:val="000000"/>
          <w:spacing w:val="5"/>
          <w:sz w:val="22"/>
          <w:szCs w:val="22"/>
        </w:rPr>
        <w:t>Prehodna določba določa, da se s</w:t>
      </w:r>
      <w:r w:rsidR="00A743EC">
        <w:rPr>
          <w:color w:val="000000"/>
          <w:spacing w:val="5"/>
          <w:sz w:val="22"/>
          <w:szCs w:val="22"/>
        </w:rPr>
        <w:t xml:space="preserve">premembe 21. člena uredbe </w:t>
      </w:r>
      <w:r>
        <w:rPr>
          <w:color w:val="000000"/>
          <w:spacing w:val="5"/>
          <w:sz w:val="22"/>
          <w:szCs w:val="22"/>
        </w:rPr>
        <w:t xml:space="preserve">(plača mladih raziskovalcev) </w:t>
      </w:r>
      <w:r w:rsidR="00A743EC">
        <w:rPr>
          <w:color w:val="000000"/>
          <w:spacing w:val="5"/>
          <w:sz w:val="22"/>
          <w:szCs w:val="22"/>
        </w:rPr>
        <w:t>uporabljajo tudi za</w:t>
      </w:r>
      <w:r w:rsidR="00A743EC">
        <w:rPr>
          <w:sz w:val="22"/>
          <w:szCs w:val="22"/>
        </w:rPr>
        <w:t xml:space="preserve"> </w:t>
      </w:r>
      <w:r w:rsidR="00A743EC">
        <w:rPr>
          <w:color w:val="000000"/>
          <w:spacing w:val="-1"/>
          <w:sz w:val="22"/>
          <w:szCs w:val="22"/>
        </w:rPr>
        <w:t>sredstva, dodeljena za leto 2017.</w:t>
      </w:r>
    </w:p>
    <w:p w:rsidR="00A743EC" w:rsidRDefault="00A743EC" w:rsidP="00A743EC">
      <w:pPr>
        <w:shd w:val="clear" w:color="auto" w:fill="FFFFFF"/>
        <w:spacing w:line="250" w:lineRule="exact"/>
        <w:ind w:left="682"/>
        <w:rPr>
          <w:sz w:val="22"/>
          <w:szCs w:val="22"/>
        </w:rPr>
      </w:pPr>
      <w:r>
        <w:rPr>
          <w:color w:val="000000"/>
          <w:spacing w:val="-1"/>
          <w:sz w:val="22"/>
          <w:szCs w:val="22"/>
        </w:rPr>
        <w:t>Končna določba določa začetek veljavnosti</w:t>
      </w:r>
      <w:r w:rsidR="00EE551A">
        <w:rPr>
          <w:color w:val="000000"/>
          <w:spacing w:val="-1"/>
          <w:sz w:val="22"/>
          <w:szCs w:val="22"/>
        </w:rPr>
        <w:t xml:space="preserve"> uredbe</w:t>
      </w:r>
      <w:r>
        <w:rPr>
          <w:color w:val="000000"/>
          <w:spacing w:val="-1"/>
          <w:sz w:val="22"/>
          <w:szCs w:val="22"/>
        </w:rPr>
        <w:t>.</w:t>
      </w:r>
    </w:p>
    <w:p w:rsidR="00A743EC" w:rsidRDefault="00A743EC" w:rsidP="00A743EC">
      <w:pPr>
        <w:spacing w:before="240" w:line="240" w:lineRule="auto"/>
        <w:jc w:val="both"/>
        <w:rPr>
          <w:rFonts w:cs="Arial"/>
          <w:bCs/>
          <w:noProof/>
          <w:sz w:val="22"/>
          <w:szCs w:val="22"/>
          <w:lang w:eastAsia="sl-SI"/>
        </w:rPr>
      </w:pPr>
    </w:p>
    <w:p w:rsidR="00BE22D0" w:rsidRDefault="00BE22D0"/>
    <w:sectPr w:rsidR="00BE22D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3EC"/>
    <w:rsid w:val="00487192"/>
    <w:rsid w:val="00A743EC"/>
    <w:rsid w:val="00AB76DC"/>
    <w:rsid w:val="00BE22D0"/>
    <w:rsid w:val="00E00418"/>
    <w:rsid w:val="00EE55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1E3AD8-D1E2-4595-A768-A526EDEE0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743EC"/>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743EC"/>
    <w:pPr>
      <w:ind w:left="720"/>
      <w:contextualSpacing/>
    </w:pPr>
  </w:style>
  <w:style w:type="character" w:customStyle="1" w:styleId="NaslovpredpisaZnak">
    <w:name w:val="Naslov_predpisa Znak"/>
    <w:link w:val="Naslovpredpisa"/>
    <w:locked/>
    <w:rsid w:val="00A743EC"/>
    <w:rPr>
      <w:rFonts w:ascii="Arial" w:eastAsia="Times New Roman" w:hAnsi="Arial" w:cs="Arial"/>
      <w:b/>
      <w:lang w:eastAsia="sl-SI"/>
    </w:rPr>
  </w:style>
  <w:style w:type="paragraph" w:customStyle="1" w:styleId="Naslovpredpisa">
    <w:name w:val="Naslov_predpisa"/>
    <w:basedOn w:val="Navaden"/>
    <w:link w:val="NaslovpredpisaZnak"/>
    <w:qFormat/>
    <w:rsid w:val="00A743EC"/>
    <w:pPr>
      <w:suppressAutoHyphens/>
      <w:overflowPunct w:val="0"/>
      <w:autoSpaceDE w:val="0"/>
      <w:autoSpaceDN w:val="0"/>
      <w:adjustRightInd w:val="0"/>
      <w:spacing w:before="120" w:after="160" w:line="200" w:lineRule="exact"/>
      <w:jc w:val="center"/>
    </w:pPr>
    <w:rPr>
      <w:rFonts w:cs="Arial"/>
      <w:b/>
      <w:sz w:val="22"/>
      <w:szCs w:val="22"/>
      <w:lang w:eastAsia="sl-SI"/>
    </w:rPr>
  </w:style>
  <w:style w:type="paragraph" w:customStyle="1" w:styleId="odstavek1">
    <w:name w:val="odstavek1"/>
    <w:basedOn w:val="Navaden"/>
    <w:rsid w:val="00A743EC"/>
    <w:pPr>
      <w:spacing w:before="240" w:line="240" w:lineRule="auto"/>
      <w:ind w:firstLine="1021"/>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1676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1094</Words>
  <Characters>6242</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Claudia Babič</dc:creator>
  <cp:keywords/>
  <dc:description/>
  <cp:lastModifiedBy>Barbara Claudia Babič</cp:lastModifiedBy>
  <cp:revision>5</cp:revision>
  <dcterms:created xsi:type="dcterms:W3CDTF">2017-02-13T07:13:00Z</dcterms:created>
  <dcterms:modified xsi:type="dcterms:W3CDTF">2017-02-17T07:58:00Z</dcterms:modified>
</cp:coreProperties>
</file>