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83B04" w:rsidRPr="007D5AD4" w:rsidRDefault="00583B04" w:rsidP="00583B04">
      <w:pPr>
        <w:keepLines/>
        <w:spacing w:line="240" w:lineRule="auto"/>
        <w:jc w:val="both"/>
        <w:rPr>
          <w:rFonts w:cs="Arial"/>
          <w:b/>
          <w:szCs w:val="20"/>
        </w:rPr>
      </w:pPr>
    </w:p>
    <w:p w:rsidR="00583B04" w:rsidRPr="007D5AD4" w:rsidRDefault="00583B04" w:rsidP="00583B04">
      <w:pPr>
        <w:spacing w:line="240" w:lineRule="auto"/>
        <w:jc w:val="both"/>
        <w:rPr>
          <w:rFonts w:cs="Arial"/>
          <w:b/>
          <w:szCs w:val="20"/>
        </w:rPr>
      </w:pPr>
    </w:p>
    <w:p w:rsidR="00583B04" w:rsidRPr="00F94E40" w:rsidRDefault="00583B04" w:rsidP="00583B04">
      <w:pPr>
        <w:spacing w:line="240" w:lineRule="auto"/>
        <w:jc w:val="both"/>
        <w:rPr>
          <w:rFonts w:cs="Arial"/>
          <w:b/>
          <w:szCs w:val="20"/>
        </w:rPr>
      </w:pPr>
      <w:r w:rsidRPr="00AA0FA8">
        <w:rPr>
          <w:rFonts w:cs="Arial"/>
          <w:b/>
          <w:szCs w:val="20"/>
        </w:rPr>
        <w:t xml:space="preserve">Predlog Zakona o spremembah in dopolnitvah Zakona o glavnem mestu Republike Slovenije,  EVA </w:t>
      </w:r>
      <w:r w:rsidR="00AA0FA8" w:rsidRPr="00F94E40">
        <w:rPr>
          <w:b/>
          <w:szCs w:val="20"/>
        </w:rPr>
        <w:t>2016-3130-0054</w:t>
      </w:r>
      <w:r w:rsidRPr="00F94E40">
        <w:rPr>
          <w:rFonts w:cs="Arial"/>
          <w:b/>
          <w:szCs w:val="20"/>
        </w:rPr>
        <w:t xml:space="preserve">– </w:t>
      </w:r>
      <w:r w:rsidR="007D5796" w:rsidRPr="00F94E40">
        <w:rPr>
          <w:rFonts w:cs="Arial"/>
          <w:b/>
          <w:szCs w:val="20"/>
        </w:rPr>
        <w:t xml:space="preserve">redni </w:t>
      </w:r>
      <w:r w:rsidRPr="00F94E40">
        <w:rPr>
          <w:rFonts w:cs="Arial"/>
          <w:b/>
          <w:szCs w:val="20"/>
        </w:rPr>
        <w:t>postopek</w:t>
      </w:r>
    </w:p>
    <w:p w:rsidR="007D5AD4" w:rsidRPr="008E02F7" w:rsidRDefault="007D5AD4" w:rsidP="007D5AD4">
      <w:pPr>
        <w:spacing w:line="240" w:lineRule="auto"/>
        <w:jc w:val="right"/>
        <w:rPr>
          <w:rFonts w:cs="Arial"/>
          <w:szCs w:val="20"/>
        </w:rPr>
      </w:pPr>
      <w:r w:rsidRPr="008E02F7">
        <w:rPr>
          <w:rFonts w:cs="Arial"/>
          <w:b/>
          <w:szCs w:val="20"/>
        </w:rPr>
        <w:tab/>
      </w:r>
      <w:r w:rsidRPr="008E02F7">
        <w:rPr>
          <w:rFonts w:cs="Arial"/>
          <w:b/>
          <w:szCs w:val="20"/>
        </w:rPr>
        <w:tab/>
      </w:r>
      <w:r w:rsidRPr="008E02F7">
        <w:rPr>
          <w:rFonts w:cs="Arial"/>
          <w:b/>
          <w:szCs w:val="20"/>
        </w:rPr>
        <w:tab/>
      </w:r>
      <w:r w:rsidRPr="008E02F7">
        <w:rPr>
          <w:rFonts w:cs="Arial"/>
          <w:b/>
          <w:szCs w:val="20"/>
        </w:rPr>
        <w:tab/>
      </w:r>
      <w:r w:rsidRPr="008E02F7">
        <w:rPr>
          <w:rFonts w:cs="Arial"/>
          <w:b/>
          <w:szCs w:val="20"/>
        </w:rPr>
        <w:tab/>
      </w:r>
      <w:r w:rsidRPr="008E02F7">
        <w:rPr>
          <w:rFonts w:cs="Arial"/>
          <w:b/>
          <w:szCs w:val="20"/>
        </w:rPr>
        <w:tab/>
      </w:r>
      <w:r w:rsidRPr="008E02F7">
        <w:rPr>
          <w:rFonts w:cs="Arial"/>
          <w:b/>
          <w:szCs w:val="20"/>
        </w:rPr>
        <w:tab/>
      </w:r>
      <w:r w:rsidRPr="008E02F7">
        <w:rPr>
          <w:rFonts w:cs="Arial"/>
          <w:b/>
          <w:szCs w:val="20"/>
        </w:rPr>
        <w:tab/>
      </w:r>
      <w:r w:rsidRPr="008E02F7">
        <w:rPr>
          <w:rFonts w:cs="Arial"/>
          <w:b/>
          <w:szCs w:val="20"/>
        </w:rPr>
        <w:tab/>
      </w:r>
      <w:r w:rsidRPr="008E02F7">
        <w:rPr>
          <w:rFonts w:cs="Arial"/>
          <w:b/>
          <w:szCs w:val="20"/>
        </w:rPr>
        <w:tab/>
      </w:r>
    </w:p>
    <w:p w:rsidR="007D5AD4" w:rsidRPr="008E02F7" w:rsidRDefault="007D5AD4" w:rsidP="007D5AD4">
      <w:pPr>
        <w:spacing w:line="240" w:lineRule="auto"/>
        <w:jc w:val="right"/>
        <w:rPr>
          <w:rFonts w:cs="Arial"/>
          <w:szCs w:val="20"/>
        </w:rPr>
      </w:pPr>
      <w:r w:rsidRPr="008E02F7">
        <w:rPr>
          <w:rFonts w:cs="Arial"/>
          <w:szCs w:val="20"/>
        </w:rPr>
        <w:tab/>
      </w:r>
      <w:r w:rsidRPr="008E02F7">
        <w:rPr>
          <w:rFonts w:cs="Arial"/>
          <w:szCs w:val="20"/>
        </w:rPr>
        <w:tab/>
      </w:r>
      <w:r w:rsidRPr="008E02F7">
        <w:rPr>
          <w:rFonts w:cs="Arial"/>
          <w:szCs w:val="20"/>
        </w:rPr>
        <w:tab/>
      </w:r>
      <w:r w:rsidRPr="008E02F7">
        <w:rPr>
          <w:rFonts w:cs="Arial"/>
          <w:szCs w:val="20"/>
        </w:rPr>
        <w:tab/>
      </w:r>
      <w:r w:rsidRPr="008E02F7">
        <w:rPr>
          <w:rFonts w:cs="Arial"/>
          <w:szCs w:val="20"/>
        </w:rPr>
        <w:tab/>
      </w:r>
      <w:r w:rsidRPr="008E02F7">
        <w:rPr>
          <w:rFonts w:cs="Arial"/>
          <w:szCs w:val="20"/>
        </w:rPr>
        <w:tab/>
      </w:r>
      <w:r w:rsidRPr="008E02F7">
        <w:rPr>
          <w:rFonts w:cs="Arial"/>
          <w:szCs w:val="20"/>
        </w:rPr>
        <w:tab/>
      </w:r>
      <w:r w:rsidRPr="008E02F7">
        <w:rPr>
          <w:rFonts w:cs="Arial"/>
          <w:szCs w:val="20"/>
        </w:rPr>
        <w:tab/>
      </w:r>
      <w:r w:rsidRPr="008E02F7">
        <w:rPr>
          <w:rFonts w:cs="Arial"/>
          <w:szCs w:val="20"/>
        </w:rPr>
        <w:tab/>
      </w:r>
      <w:r w:rsidRPr="008E02F7">
        <w:rPr>
          <w:rFonts w:cs="Arial"/>
          <w:szCs w:val="20"/>
        </w:rPr>
        <w:tab/>
        <w:t xml:space="preserve">Verzija </w:t>
      </w:r>
      <w:r w:rsidR="00C278E6">
        <w:rPr>
          <w:rFonts w:cs="Arial"/>
          <w:szCs w:val="20"/>
        </w:rPr>
        <w:t>13</w:t>
      </w:r>
      <w:r w:rsidRPr="008E02F7">
        <w:rPr>
          <w:rFonts w:cs="Arial"/>
          <w:szCs w:val="20"/>
        </w:rPr>
        <w:t>.1.201</w:t>
      </w:r>
      <w:r w:rsidR="00C278E6">
        <w:rPr>
          <w:rFonts w:cs="Arial"/>
          <w:szCs w:val="20"/>
        </w:rPr>
        <w:t>7</w:t>
      </w:r>
      <w:bookmarkStart w:id="0" w:name="_GoBack"/>
      <w:bookmarkEnd w:id="0"/>
    </w:p>
    <w:p w:rsidR="00583B04" w:rsidRPr="007D5AD4" w:rsidRDefault="00583B04" w:rsidP="00583B04">
      <w:pPr>
        <w:spacing w:line="240" w:lineRule="auto"/>
        <w:jc w:val="both"/>
        <w:rPr>
          <w:rFonts w:cs="Arial"/>
          <w:szCs w:val="20"/>
        </w:rPr>
      </w:pPr>
    </w:p>
    <w:p w:rsidR="00583B04" w:rsidRPr="007D5AD4" w:rsidRDefault="00583B04" w:rsidP="00583B04">
      <w:pPr>
        <w:pStyle w:val="Telobesedila3"/>
        <w:spacing w:after="0"/>
        <w:jc w:val="both"/>
        <w:rPr>
          <w:rFonts w:ascii="Arial" w:hAnsi="Arial" w:cs="Arial"/>
          <w:b/>
          <w:sz w:val="20"/>
          <w:szCs w:val="20"/>
        </w:rPr>
      </w:pPr>
      <w:r w:rsidRPr="007D5AD4">
        <w:rPr>
          <w:rFonts w:ascii="Arial" w:hAnsi="Arial" w:cs="Arial"/>
          <w:b/>
          <w:sz w:val="20"/>
          <w:szCs w:val="20"/>
        </w:rPr>
        <w:t>I. Uvod</w:t>
      </w:r>
    </w:p>
    <w:p w:rsidR="00583B04" w:rsidRPr="007D5AD4" w:rsidRDefault="00583B04" w:rsidP="00583B04">
      <w:pPr>
        <w:pStyle w:val="Telobesedila3"/>
        <w:spacing w:after="0"/>
        <w:jc w:val="both"/>
        <w:rPr>
          <w:rFonts w:ascii="Arial" w:hAnsi="Arial" w:cs="Arial"/>
          <w:b/>
          <w:sz w:val="20"/>
          <w:szCs w:val="20"/>
        </w:rPr>
      </w:pPr>
    </w:p>
    <w:p w:rsidR="00583B04" w:rsidRPr="007D5AD4" w:rsidRDefault="00583B04" w:rsidP="00583B04">
      <w:pPr>
        <w:pStyle w:val="Telobesedila3"/>
        <w:spacing w:after="0"/>
        <w:jc w:val="both"/>
        <w:rPr>
          <w:rFonts w:ascii="Arial" w:hAnsi="Arial" w:cs="Arial"/>
          <w:b/>
          <w:sz w:val="20"/>
          <w:szCs w:val="20"/>
        </w:rPr>
      </w:pPr>
      <w:r w:rsidRPr="007D5AD4">
        <w:rPr>
          <w:rFonts w:ascii="Arial" w:hAnsi="Arial" w:cs="Arial"/>
          <w:b/>
          <w:sz w:val="20"/>
          <w:szCs w:val="20"/>
        </w:rPr>
        <w:t>1. Ocena stanja in razlogi za sprejetje zakona</w:t>
      </w:r>
    </w:p>
    <w:p w:rsidR="00583B04" w:rsidRPr="007D5AD4" w:rsidRDefault="00583B04" w:rsidP="00583B04">
      <w:pPr>
        <w:spacing w:line="240" w:lineRule="auto"/>
        <w:jc w:val="both"/>
        <w:rPr>
          <w:rFonts w:cs="Arial"/>
          <w:szCs w:val="20"/>
        </w:rPr>
      </w:pPr>
    </w:p>
    <w:p w:rsidR="00C278E6" w:rsidRPr="00C278E6" w:rsidRDefault="00C278E6" w:rsidP="00C278E6">
      <w:pPr>
        <w:tabs>
          <w:tab w:val="center" w:pos="4320"/>
          <w:tab w:val="right" w:pos="8640"/>
        </w:tabs>
        <w:spacing w:line="240" w:lineRule="auto"/>
        <w:jc w:val="both"/>
        <w:rPr>
          <w:rFonts w:cs="Arial"/>
          <w:szCs w:val="20"/>
        </w:rPr>
      </w:pPr>
      <w:r w:rsidRPr="00C278E6">
        <w:rPr>
          <w:rFonts w:cs="Arial"/>
          <w:szCs w:val="20"/>
        </w:rPr>
        <w:t xml:space="preserve">Sprememba Zakona o glavnem mestu Republike Slovenije spreminja način določanja deleža dohodnine, ki pripada Mestni občini Ljubljana kot glavnemu mestu </w:t>
      </w:r>
      <w:r>
        <w:rPr>
          <w:rFonts w:cs="Arial"/>
          <w:szCs w:val="20"/>
        </w:rPr>
        <w:t xml:space="preserve">Republike Slovenije </w:t>
      </w:r>
      <w:r w:rsidRPr="00C278E6">
        <w:rPr>
          <w:rFonts w:cs="Arial"/>
          <w:szCs w:val="20"/>
        </w:rPr>
        <w:t xml:space="preserve">iz dosedanje omejitve z maksimalno vrednostjo na omejitev v razponu od minimalne do maksimalne vrednosti. </w:t>
      </w:r>
    </w:p>
    <w:p w:rsidR="00C278E6" w:rsidRDefault="00C278E6" w:rsidP="00583B04">
      <w:pPr>
        <w:spacing w:line="240" w:lineRule="auto"/>
        <w:jc w:val="both"/>
        <w:rPr>
          <w:rFonts w:cs="Arial"/>
          <w:szCs w:val="20"/>
        </w:rPr>
      </w:pPr>
    </w:p>
    <w:p w:rsidR="00F94E40" w:rsidRDefault="00F94E40" w:rsidP="00583B04">
      <w:pPr>
        <w:spacing w:line="240" w:lineRule="auto"/>
        <w:jc w:val="both"/>
        <w:rPr>
          <w:rFonts w:cs="Arial"/>
          <w:szCs w:val="20"/>
        </w:rPr>
      </w:pPr>
      <w:r w:rsidRPr="007D5AD4">
        <w:rPr>
          <w:rFonts w:cs="Arial"/>
          <w:szCs w:val="20"/>
        </w:rPr>
        <w:t xml:space="preserve">Predlog zakona v skladu z načeli pravne države jasno in nedvoumno določa vir prihodkov Mestne občine Ljubljana za financiranje nalog po </w:t>
      </w:r>
      <w:r>
        <w:rPr>
          <w:rFonts w:cs="Arial"/>
          <w:color w:val="000000"/>
          <w:szCs w:val="20"/>
        </w:rPr>
        <w:t>Z</w:t>
      </w:r>
      <w:r w:rsidRPr="007D5AD4">
        <w:rPr>
          <w:rFonts w:cs="Arial"/>
          <w:color w:val="000000"/>
          <w:szCs w:val="20"/>
        </w:rPr>
        <w:t xml:space="preserve">akona o glavnem mestu </w:t>
      </w:r>
      <w:r>
        <w:rPr>
          <w:rFonts w:cs="Arial"/>
          <w:color w:val="000000"/>
          <w:szCs w:val="20"/>
        </w:rPr>
        <w:t>Republike Slovenije</w:t>
      </w:r>
      <w:r w:rsidRPr="007D5AD4">
        <w:rPr>
          <w:rFonts w:cs="Arial"/>
          <w:szCs w:val="20"/>
        </w:rPr>
        <w:t xml:space="preserve">. Zakon je v skladu ustavnim konceptom lokalne samouprave in razmerij med državnimi organi in organi lokalnih skupnosti, načelom finančne avtonomije, </w:t>
      </w:r>
      <w:proofErr w:type="spellStart"/>
      <w:r w:rsidRPr="007D5AD4">
        <w:rPr>
          <w:rFonts w:cs="Arial"/>
          <w:szCs w:val="20"/>
        </w:rPr>
        <w:t>koneksitete</w:t>
      </w:r>
      <w:proofErr w:type="spellEnd"/>
      <w:r w:rsidRPr="007D5AD4">
        <w:rPr>
          <w:rFonts w:cs="Arial"/>
          <w:szCs w:val="20"/>
        </w:rPr>
        <w:t xml:space="preserve"> in stabilnosti virov financiranja lokalnih skupnosti ter zagotavlja organom Mestne občine Ljubljana samostojnost pri načrtovanju in sprejemanju odločitev o financiranju nalog.</w:t>
      </w:r>
      <w:r>
        <w:rPr>
          <w:rFonts w:cs="Arial"/>
          <w:szCs w:val="20"/>
        </w:rPr>
        <w:t xml:space="preserve"> </w:t>
      </w:r>
    </w:p>
    <w:p w:rsidR="00F94E40" w:rsidRDefault="00F94E40" w:rsidP="00583B04">
      <w:pPr>
        <w:spacing w:line="240" w:lineRule="auto"/>
        <w:jc w:val="both"/>
        <w:rPr>
          <w:rFonts w:cs="Arial"/>
          <w:szCs w:val="20"/>
        </w:rPr>
      </w:pPr>
    </w:p>
    <w:p w:rsidR="00583B04" w:rsidRPr="007D5AD4" w:rsidRDefault="00583B04" w:rsidP="00583B04">
      <w:pPr>
        <w:spacing w:line="240" w:lineRule="auto"/>
        <w:jc w:val="both"/>
        <w:rPr>
          <w:rFonts w:cs="Arial"/>
          <w:szCs w:val="20"/>
          <w:lang w:eastAsia="sl-SI"/>
        </w:rPr>
      </w:pPr>
      <w:r w:rsidRPr="007D5AD4">
        <w:rPr>
          <w:rFonts w:cs="Arial"/>
          <w:color w:val="000000"/>
          <w:szCs w:val="20"/>
        </w:rPr>
        <w:t xml:space="preserve">S predlaganimi spremembami in dopolnitvami 6.a člena </w:t>
      </w:r>
      <w:r w:rsidR="00F94E40">
        <w:rPr>
          <w:rFonts w:cs="Arial"/>
          <w:color w:val="000000"/>
          <w:szCs w:val="20"/>
        </w:rPr>
        <w:t>Z</w:t>
      </w:r>
      <w:r w:rsidRPr="007D5AD4">
        <w:rPr>
          <w:rFonts w:cs="Arial"/>
          <w:color w:val="000000"/>
          <w:szCs w:val="20"/>
        </w:rPr>
        <w:t xml:space="preserve">akona o glavnem mestu </w:t>
      </w:r>
      <w:r w:rsidR="00F94E40">
        <w:rPr>
          <w:rFonts w:cs="Arial"/>
          <w:color w:val="000000"/>
          <w:szCs w:val="20"/>
        </w:rPr>
        <w:t xml:space="preserve">Republike Slovenije </w:t>
      </w:r>
      <w:r w:rsidRPr="007D5AD4">
        <w:rPr>
          <w:rFonts w:cs="Arial"/>
          <w:color w:val="000000"/>
          <w:szCs w:val="20"/>
        </w:rPr>
        <w:t>se določa način določanja deleža dohodnine, ki bo za posamezno proračunsko leto pripadal Mestni občini Ljubljana</w:t>
      </w:r>
      <w:r w:rsidR="00C278E6">
        <w:rPr>
          <w:rFonts w:cs="Arial"/>
          <w:color w:val="000000"/>
          <w:szCs w:val="20"/>
        </w:rPr>
        <w:t xml:space="preserve"> kot glavnemu mestu Republike Slovenije</w:t>
      </w:r>
      <w:r w:rsidRPr="007D5AD4">
        <w:rPr>
          <w:rFonts w:cs="Arial"/>
          <w:color w:val="000000"/>
          <w:szCs w:val="20"/>
        </w:rPr>
        <w:t xml:space="preserve">. </w:t>
      </w:r>
      <w:r w:rsidRPr="007D5AD4">
        <w:rPr>
          <w:rFonts w:cs="Arial"/>
          <w:szCs w:val="20"/>
        </w:rPr>
        <w:t xml:space="preserve">Razmerje se glede na trenutno ureditev izračuna za naslednja štiri proračunska leta, pri čemer se v enačbi upoštevajo: prilagojena povprečna vrednost tekočih stroškov vseh občin, prilagojena povprečna vrednost tekočih stroškov Mestne občine Ljubljana, prilagojena povprečna vrednost tekočih stroškov mestnih občin ter prilagojena povprečna vrednost tekočih prihodkov Mestne občine Ljubljana, prilagojena povprečna vrednost tekočih prihodkov mestnih občin, število prebivalcev glavnega mesta po podatkih SURS na dan 1. januarja leta (t-1) in </w:t>
      </w:r>
      <w:r w:rsidRPr="007D5AD4">
        <w:rPr>
          <w:rFonts w:cs="Arial"/>
          <w:szCs w:val="20"/>
          <w:lang w:eastAsia="sl-SI"/>
        </w:rPr>
        <w:t xml:space="preserve">dohodnina, vplačana v predpreteklem letu pred letom, za katero se ji izračunava razmerje. </w:t>
      </w:r>
    </w:p>
    <w:p w:rsidR="00583B04" w:rsidRPr="007D5AD4" w:rsidRDefault="00583B04" w:rsidP="00583B04">
      <w:pPr>
        <w:spacing w:line="240" w:lineRule="auto"/>
        <w:jc w:val="both"/>
        <w:rPr>
          <w:rFonts w:cs="Arial"/>
          <w:szCs w:val="20"/>
          <w:lang w:eastAsia="sl-SI"/>
        </w:rPr>
      </w:pPr>
    </w:p>
    <w:p w:rsidR="00583B04" w:rsidRPr="007D5AD4" w:rsidRDefault="00583B04" w:rsidP="00583B04">
      <w:pPr>
        <w:spacing w:line="240" w:lineRule="auto"/>
        <w:jc w:val="both"/>
        <w:rPr>
          <w:rFonts w:cs="Arial"/>
          <w:color w:val="000000"/>
          <w:szCs w:val="20"/>
        </w:rPr>
      </w:pPr>
      <w:r w:rsidRPr="007D5AD4">
        <w:rPr>
          <w:rFonts w:cs="Arial"/>
          <w:szCs w:val="20"/>
          <w:lang w:eastAsia="sl-SI"/>
        </w:rPr>
        <w:t>V predlogu zakona se določa, da ne glede na izračun na podlagi metodologije, določene z uredbo, delež dohodnine, ki pripada mestni občini za posamezno proračunsko leto, ne sme biti nižji od 0,</w:t>
      </w:r>
      <w:r w:rsidR="0032339B" w:rsidRPr="007D5AD4">
        <w:rPr>
          <w:rFonts w:cs="Arial"/>
          <w:szCs w:val="20"/>
          <w:lang w:eastAsia="sl-SI"/>
        </w:rPr>
        <w:t>5</w:t>
      </w:r>
      <w:r w:rsidRPr="007D5AD4">
        <w:rPr>
          <w:rFonts w:cs="Arial"/>
          <w:szCs w:val="20"/>
          <w:lang w:eastAsia="sl-SI"/>
        </w:rPr>
        <w:t>0 % in ne višji od 0,</w:t>
      </w:r>
      <w:r w:rsidR="0032339B" w:rsidRPr="007D5AD4">
        <w:rPr>
          <w:rFonts w:cs="Arial"/>
          <w:szCs w:val="20"/>
          <w:lang w:eastAsia="sl-SI"/>
        </w:rPr>
        <w:t>8</w:t>
      </w:r>
      <w:r w:rsidRPr="007D5AD4">
        <w:rPr>
          <w:rFonts w:cs="Arial"/>
          <w:szCs w:val="20"/>
          <w:lang w:eastAsia="sl-SI"/>
        </w:rPr>
        <w:t xml:space="preserve">0 %. Ker bo način izračuna urejen z novo uredbo, bo </w:t>
      </w:r>
      <w:r w:rsidRPr="007D5AD4">
        <w:rPr>
          <w:rFonts w:cs="Arial"/>
          <w:szCs w:val="20"/>
        </w:rPr>
        <w:t xml:space="preserve">Uredba o metodologiji za izračun razmerja med ocenjenimi stroški financiranja nalog in programov glavnega mesta in dohodnino (Uradni list RS, št. 14/10) </w:t>
      </w:r>
      <w:r w:rsidR="00F94E40" w:rsidRPr="007D5AD4">
        <w:rPr>
          <w:rFonts w:cs="Arial"/>
          <w:szCs w:val="20"/>
          <w:lang w:eastAsia="sl-SI"/>
        </w:rPr>
        <w:t>v celoti razveljav</w:t>
      </w:r>
      <w:r w:rsidR="00F94E40">
        <w:rPr>
          <w:rFonts w:cs="Arial"/>
          <w:szCs w:val="20"/>
          <w:lang w:eastAsia="sl-SI"/>
        </w:rPr>
        <w:t>ljena.</w:t>
      </w:r>
      <w:r w:rsidR="00F94E40" w:rsidRPr="007D5AD4">
        <w:rPr>
          <w:rFonts w:cs="Arial"/>
          <w:szCs w:val="20"/>
          <w:lang w:eastAsia="sl-SI"/>
        </w:rPr>
        <w:t xml:space="preserve"> </w:t>
      </w:r>
      <w:r w:rsidRPr="007D5AD4">
        <w:rPr>
          <w:rFonts w:cs="Arial"/>
          <w:szCs w:val="20"/>
        </w:rPr>
        <w:t xml:space="preserve">S takšno ureditvijo bo jasno in nedvoumno določen vir prihodkov Mestne občine Ljubljana za financiranje nalog po zakonu o glavnem mestu, njenim organom pa bo omogočena samostojnost pri načrtovanju in sprejemanju odločitev o financiranju nalog (predvidljivost deleža dohodnine). </w:t>
      </w:r>
    </w:p>
    <w:p w:rsidR="00583B04" w:rsidRPr="007D5AD4" w:rsidRDefault="00583B04" w:rsidP="00583B04">
      <w:pPr>
        <w:spacing w:line="240" w:lineRule="auto"/>
        <w:jc w:val="both"/>
        <w:rPr>
          <w:rFonts w:cs="Arial"/>
          <w:szCs w:val="20"/>
        </w:rPr>
      </w:pPr>
    </w:p>
    <w:p w:rsidR="00583B04" w:rsidRPr="007D5AD4" w:rsidRDefault="00583B04" w:rsidP="00583B04">
      <w:pPr>
        <w:spacing w:line="240" w:lineRule="auto"/>
        <w:jc w:val="both"/>
        <w:rPr>
          <w:rFonts w:cs="Arial"/>
          <w:b/>
          <w:szCs w:val="20"/>
        </w:rPr>
      </w:pPr>
    </w:p>
    <w:p w:rsidR="00583B04" w:rsidRPr="007D5AD4" w:rsidRDefault="00583B04" w:rsidP="00583B04">
      <w:pPr>
        <w:spacing w:line="240" w:lineRule="auto"/>
        <w:jc w:val="both"/>
        <w:rPr>
          <w:rFonts w:cs="Arial"/>
          <w:b/>
          <w:szCs w:val="20"/>
        </w:rPr>
      </w:pPr>
      <w:r w:rsidRPr="007D5AD4">
        <w:rPr>
          <w:rFonts w:cs="Arial"/>
          <w:b/>
          <w:szCs w:val="20"/>
        </w:rPr>
        <w:t>II. BESEDILO ČLENOV</w:t>
      </w:r>
    </w:p>
    <w:p w:rsidR="00583B04" w:rsidRPr="007D5AD4" w:rsidRDefault="00583B04" w:rsidP="00583B04">
      <w:pPr>
        <w:spacing w:line="240" w:lineRule="auto"/>
        <w:jc w:val="both"/>
        <w:rPr>
          <w:rFonts w:cs="Arial"/>
          <w:b/>
          <w:szCs w:val="20"/>
        </w:rPr>
      </w:pPr>
    </w:p>
    <w:p w:rsidR="00583B04" w:rsidRPr="007D5AD4" w:rsidRDefault="00583B04" w:rsidP="00583B04">
      <w:pPr>
        <w:spacing w:line="240" w:lineRule="auto"/>
        <w:jc w:val="both"/>
        <w:rPr>
          <w:rFonts w:cs="Arial"/>
          <w:b/>
          <w:szCs w:val="20"/>
        </w:rPr>
      </w:pPr>
    </w:p>
    <w:p w:rsidR="00583B04" w:rsidRPr="007D5AD4" w:rsidRDefault="00583B04" w:rsidP="00583B04">
      <w:pPr>
        <w:numPr>
          <w:ilvl w:val="0"/>
          <w:numId w:val="7"/>
        </w:numPr>
        <w:spacing w:line="240" w:lineRule="auto"/>
        <w:jc w:val="center"/>
        <w:rPr>
          <w:rFonts w:cs="Arial"/>
          <w:b/>
          <w:szCs w:val="20"/>
        </w:rPr>
      </w:pPr>
      <w:r w:rsidRPr="007D5AD4">
        <w:rPr>
          <w:rFonts w:cs="Arial"/>
          <w:b/>
          <w:szCs w:val="20"/>
        </w:rPr>
        <w:t>člen</w:t>
      </w:r>
    </w:p>
    <w:p w:rsidR="00583B04" w:rsidRPr="007D5AD4" w:rsidRDefault="00583B04" w:rsidP="00583B04">
      <w:pPr>
        <w:spacing w:line="240" w:lineRule="auto"/>
        <w:jc w:val="center"/>
        <w:rPr>
          <w:rFonts w:cs="Arial"/>
          <w:b/>
          <w:szCs w:val="20"/>
        </w:rPr>
      </w:pPr>
    </w:p>
    <w:p w:rsidR="00583B04" w:rsidRPr="007D5AD4" w:rsidRDefault="00583B04" w:rsidP="00583B04">
      <w:pPr>
        <w:spacing w:line="240" w:lineRule="auto"/>
        <w:jc w:val="both"/>
        <w:rPr>
          <w:rFonts w:cs="Arial"/>
          <w:szCs w:val="20"/>
        </w:rPr>
      </w:pPr>
      <w:r w:rsidRPr="007D5AD4">
        <w:rPr>
          <w:rFonts w:cs="Arial"/>
          <w:szCs w:val="20"/>
        </w:rPr>
        <w:t>V Zakonu o glavnem mestu Republike Slovenije (Uradni list RS, št. 22/04 in 110/09) se 6.a člen spremeni tako, da se glasi:</w:t>
      </w:r>
    </w:p>
    <w:p w:rsidR="00583B04" w:rsidRPr="007D5AD4" w:rsidRDefault="00583B04" w:rsidP="00583B04">
      <w:pPr>
        <w:pStyle w:val="len"/>
        <w:spacing w:before="0"/>
        <w:jc w:val="both"/>
        <w:rPr>
          <w:b w:val="0"/>
          <w:sz w:val="20"/>
          <w:szCs w:val="20"/>
        </w:rPr>
      </w:pPr>
    </w:p>
    <w:p w:rsidR="00583B04" w:rsidRPr="007D5AD4" w:rsidRDefault="00583B04" w:rsidP="00583B04">
      <w:pPr>
        <w:pStyle w:val="len"/>
        <w:spacing w:before="0"/>
        <w:rPr>
          <w:b w:val="0"/>
          <w:sz w:val="20"/>
          <w:szCs w:val="20"/>
        </w:rPr>
      </w:pPr>
      <w:r w:rsidRPr="007D5AD4">
        <w:rPr>
          <w:b w:val="0"/>
          <w:sz w:val="20"/>
          <w:szCs w:val="20"/>
        </w:rPr>
        <w:t>»6.a člen</w:t>
      </w:r>
    </w:p>
    <w:p w:rsidR="00583B04" w:rsidRPr="007D5AD4" w:rsidRDefault="00583B04" w:rsidP="00583B04">
      <w:pPr>
        <w:pStyle w:val="len"/>
        <w:spacing w:before="0"/>
        <w:jc w:val="both"/>
        <w:rPr>
          <w:b w:val="0"/>
          <w:sz w:val="20"/>
          <w:szCs w:val="20"/>
        </w:rPr>
      </w:pPr>
    </w:p>
    <w:p w:rsidR="00583B04" w:rsidRPr="007D5AD4" w:rsidRDefault="00583B04" w:rsidP="00583B04">
      <w:pPr>
        <w:pStyle w:val="len"/>
        <w:spacing w:before="0"/>
        <w:jc w:val="both"/>
        <w:rPr>
          <w:b w:val="0"/>
          <w:sz w:val="20"/>
          <w:szCs w:val="20"/>
        </w:rPr>
      </w:pPr>
      <w:r w:rsidRPr="007D5AD4">
        <w:rPr>
          <w:b w:val="0"/>
          <w:sz w:val="20"/>
          <w:szCs w:val="20"/>
        </w:rPr>
        <w:t>(1) Za financiranje nalog in programov, s katerimi mestna občina po svojih pristojnostih tekoče zagotavlja pogoje za delovanje organov in organizacij ter predstavništev iz 1. člena tega zakona,  pripada mestni občini za posamezno proračunsko leto delež dohodnine, vplačane v predpreteklem letu, če v skladu s tem zakonom ni dogovorjeno drugačno financiranje.</w:t>
      </w:r>
    </w:p>
    <w:p w:rsidR="00583B04" w:rsidRPr="007D5AD4" w:rsidRDefault="00583B04" w:rsidP="00583B04">
      <w:pPr>
        <w:pStyle w:val="len"/>
        <w:spacing w:before="0"/>
        <w:jc w:val="both"/>
        <w:rPr>
          <w:b w:val="0"/>
          <w:sz w:val="20"/>
          <w:szCs w:val="20"/>
        </w:rPr>
      </w:pPr>
    </w:p>
    <w:p w:rsidR="00583B04" w:rsidRPr="007D5AD4" w:rsidRDefault="00583B04" w:rsidP="00583B04">
      <w:pPr>
        <w:pStyle w:val="len"/>
        <w:spacing w:before="0"/>
        <w:jc w:val="both"/>
        <w:rPr>
          <w:b w:val="0"/>
          <w:sz w:val="20"/>
          <w:szCs w:val="20"/>
        </w:rPr>
      </w:pPr>
      <w:r w:rsidRPr="007D5AD4">
        <w:rPr>
          <w:b w:val="0"/>
          <w:sz w:val="20"/>
          <w:szCs w:val="20"/>
        </w:rPr>
        <w:t xml:space="preserve">(2) Delež dohodnine iz prejšnjega odstavka se izračuna najpozneje do </w:t>
      </w:r>
      <w:r w:rsidR="00ED018D">
        <w:rPr>
          <w:b w:val="0"/>
          <w:sz w:val="20"/>
          <w:szCs w:val="20"/>
        </w:rPr>
        <w:t>1. avgusta</w:t>
      </w:r>
      <w:r w:rsidRPr="007D5AD4">
        <w:rPr>
          <w:b w:val="0"/>
          <w:sz w:val="20"/>
          <w:szCs w:val="20"/>
        </w:rPr>
        <w:t xml:space="preserve"> tekočega leta za naslednje proračunsko leto v skladu z metodologijo, ki jo določi vlada z uredbo.  </w:t>
      </w:r>
    </w:p>
    <w:p w:rsidR="00583B04" w:rsidRPr="00ED018D" w:rsidRDefault="00583B04" w:rsidP="00583B04">
      <w:pPr>
        <w:pStyle w:val="len"/>
        <w:spacing w:before="0"/>
        <w:jc w:val="both"/>
        <w:rPr>
          <w:b w:val="0"/>
          <w:sz w:val="20"/>
          <w:szCs w:val="20"/>
        </w:rPr>
      </w:pPr>
    </w:p>
    <w:p w:rsidR="00583B04" w:rsidRPr="00ED018D" w:rsidRDefault="00583B04" w:rsidP="00F621E2">
      <w:pPr>
        <w:pStyle w:val="len"/>
        <w:spacing w:before="0"/>
        <w:jc w:val="both"/>
        <w:rPr>
          <w:b w:val="0"/>
          <w:sz w:val="20"/>
          <w:szCs w:val="20"/>
        </w:rPr>
      </w:pPr>
      <w:r w:rsidRPr="00ED018D">
        <w:rPr>
          <w:b w:val="0"/>
          <w:sz w:val="20"/>
          <w:szCs w:val="20"/>
        </w:rPr>
        <w:lastRenderedPageBreak/>
        <w:t>(3) Ne glede na izračun deleža dohodnine, ki pripada mestni občini na podlagi prejšnjega odstavka, pa ta delež za posamezno proračunsko leto ne sme biti nižji od 0,</w:t>
      </w:r>
      <w:r w:rsidR="00F621E2" w:rsidRPr="00ED018D">
        <w:rPr>
          <w:b w:val="0"/>
          <w:sz w:val="20"/>
          <w:szCs w:val="20"/>
        </w:rPr>
        <w:t>5</w:t>
      </w:r>
      <w:r w:rsidRPr="00ED018D">
        <w:rPr>
          <w:b w:val="0"/>
          <w:sz w:val="20"/>
          <w:szCs w:val="20"/>
        </w:rPr>
        <w:t>0 % in ne višji od 0,</w:t>
      </w:r>
      <w:r w:rsidR="00F621E2" w:rsidRPr="00F94E40">
        <w:rPr>
          <w:b w:val="0"/>
          <w:sz w:val="20"/>
          <w:szCs w:val="20"/>
        </w:rPr>
        <w:t>8</w:t>
      </w:r>
      <w:r w:rsidRPr="00F94E40">
        <w:rPr>
          <w:b w:val="0"/>
          <w:sz w:val="20"/>
          <w:szCs w:val="20"/>
        </w:rPr>
        <w:t>0 % dohodnine iz prvega odstavka tega člena. Če je izračunani delež dohodnine nižji od 0,</w:t>
      </w:r>
      <w:r w:rsidR="00F621E2" w:rsidRPr="00F94E40">
        <w:rPr>
          <w:b w:val="0"/>
          <w:sz w:val="20"/>
          <w:szCs w:val="20"/>
        </w:rPr>
        <w:t>5</w:t>
      </w:r>
      <w:r w:rsidRPr="00F94E40">
        <w:rPr>
          <w:b w:val="0"/>
          <w:sz w:val="20"/>
          <w:szCs w:val="20"/>
        </w:rPr>
        <w:t>0 %, se določi delež dohodnine v višini 0,</w:t>
      </w:r>
      <w:r w:rsidR="00F621E2" w:rsidRPr="00F94E40">
        <w:rPr>
          <w:b w:val="0"/>
          <w:sz w:val="20"/>
          <w:szCs w:val="20"/>
        </w:rPr>
        <w:t>5</w:t>
      </w:r>
      <w:r w:rsidRPr="00F94E40">
        <w:rPr>
          <w:b w:val="0"/>
          <w:sz w:val="20"/>
          <w:szCs w:val="20"/>
        </w:rPr>
        <w:t>0 %. Če je izračunani delež dohodnine višji od 0,</w:t>
      </w:r>
      <w:r w:rsidR="00F621E2" w:rsidRPr="00F94E40">
        <w:rPr>
          <w:b w:val="0"/>
          <w:sz w:val="20"/>
          <w:szCs w:val="20"/>
        </w:rPr>
        <w:t>8</w:t>
      </w:r>
      <w:r w:rsidRPr="00F94E40">
        <w:rPr>
          <w:b w:val="0"/>
          <w:sz w:val="20"/>
          <w:szCs w:val="20"/>
        </w:rPr>
        <w:t>0 %, se določi delež dohodnine v višini 0,</w:t>
      </w:r>
      <w:r w:rsidR="00F621E2" w:rsidRPr="00F94E40">
        <w:rPr>
          <w:b w:val="0"/>
          <w:sz w:val="20"/>
          <w:szCs w:val="20"/>
        </w:rPr>
        <w:t>8</w:t>
      </w:r>
      <w:r w:rsidRPr="00F94E40">
        <w:rPr>
          <w:b w:val="0"/>
          <w:sz w:val="20"/>
          <w:szCs w:val="20"/>
        </w:rPr>
        <w:t>0 %.</w:t>
      </w:r>
      <w:r w:rsidRPr="00ED018D">
        <w:rPr>
          <w:b w:val="0"/>
          <w:sz w:val="20"/>
          <w:szCs w:val="20"/>
        </w:rPr>
        <w:t>«.</w:t>
      </w:r>
    </w:p>
    <w:p w:rsidR="00583B04" w:rsidRPr="007D5AD4" w:rsidRDefault="00583B04" w:rsidP="00583B04">
      <w:pPr>
        <w:spacing w:line="240" w:lineRule="auto"/>
        <w:jc w:val="both"/>
        <w:rPr>
          <w:rFonts w:cs="Arial"/>
          <w:szCs w:val="20"/>
        </w:rPr>
      </w:pPr>
    </w:p>
    <w:p w:rsidR="00583B04" w:rsidRPr="007D5AD4" w:rsidRDefault="00583B04" w:rsidP="00583B04">
      <w:pPr>
        <w:numPr>
          <w:ilvl w:val="0"/>
          <w:numId w:val="7"/>
        </w:numPr>
        <w:spacing w:line="240" w:lineRule="auto"/>
        <w:jc w:val="center"/>
        <w:rPr>
          <w:rFonts w:cs="Arial"/>
          <w:b/>
          <w:szCs w:val="20"/>
        </w:rPr>
      </w:pPr>
      <w:r w:rsidRPr="007D5AD4">
        <w:rPr>
          <w:rFonts w:cs="Arial"/>
          <w:b/>
          <w:szCs w:val="20"/>
        </w:rPr>
        <w:t>člen</w:t>
      </w:r>
    </w:p>
    <w:p w:rsidR="00583B04" w:rsidRPr="007D5AD4" w:rsidRDefault="00583B04" w:rsidP="00583B04">
      <w:pPr>
        <w:spacing w:line="240" w:lineRule="auto"/>
        <w:jc w:val="center"/>
        <w:rPr>
          <w:rFonts w:cs="Arial"/>
          <w:szCs w:val="20"/>
        </w:rPr>
      </w:pPr>
    </w:p>
    <w:p w:rsidR="00583B04" w:rsidRPr="007D5AD4" w:rsidRDefault="00583B04" w:rsidP="00583B04">
      <w:pPr>
        <w:spacing w:line="240" w:lineRule="auto"/>
        <w:rPr>
          <w:rFonts w:cs="Arial"/>
          <w:color w:val="000000"/>
          <w:szCs w:val="20"/>
        </w:rPr>
      </w:pPr>
      <w:r w:rsidRPr="007D5AD4">
        <w:rPr>
          <w:rFonts w:cs="Arial"/>
          <w:color w:val="000000"/>
          <w:szCs w:val="20"/>
        </w:rPr>
        <w:t>6.b člen se spremeni tako, da se glasi:</w:t>
      </w:r>
    </w:p>
    <w:p w:rsidR="00583B04" w:rsidRPr="007D5AD4" w:rsidRDefault="00583B04" w:rsidP="00583B04">
      <w:pPr>
        <w:spacing w:line="240" w:lineRule="auto"/>
        <w:jc w:val="center"/>
        <w:rPr>
          <w:rFonts w:cs="Arial"/>
          <w:color w:val="000000"/>
          <w:szCs w:val="20"/>
        </w:rPr>
      </w:pPr>
    </w:p>
    <w:p w:rsidR="00583B04" w:rsidRPr="007D5AD4" w:rsidRDefault="00583B04" w:rsidP="00583B04">
      <w:pPr>
        <w:spacing w:line="240" w:lineRule="auto"/>
        <w:jc w:val="center"/>
        <w:rPr>
          <w:rFonts w:cs="Arial"/>
          <w:color w:val="000000"/>
          <w:szCs w:val="20"/>
        </w:rPr>
      </w:pPr>
      <w:r w:rsidRPr="007D5AD4">
        <w:rPr>
          <w:rFonts w:cs="Arial"/>
          <w:color w:val="000000"/>
          <w:szCs w:val="20"/>
        </w:rPr>
        <w:t xml:space="preserve"> »6.b člen</w:t>
      </w:r>
    </w:p>
    <w:p w:rsidR="00583B04" w:rsidRPr="007D5AD4" w:rsidRDefault="00583B04" w:rsidP="00583B04">
      <w:pPr>
        <w:spacing w:line="240" w:lineRule="auto"/>
        <w:jc w:val="center"/>
        <w:rPr>
          <w:rFonts w:cs="Arial"/>
          <w:color w:val="000000"/>
          <w:szCs w:val="20"/>
        </w:rPr>
      </w:pPr>
    </w:p>
    <w:p w:rsidR="00583B04" w:rsidRPr="007D5AD4" w:rsidRDefault="00583B04" w:rsidP="00583B04">
      <w:pPr>
        <w:pStyle w:val="Odstavek"/>
        <w:spacing w:before="0"/>
        <w:ind w:firstLine="0"/>
        <w:rPr>
          <w:sz w:val="20"/>
          <w:szCs w:val="20"/>
        </w:rPr>
      </w:pPr>
      <w:r w:rsidRPr="007D5AD4">
        <w:rPr>
          <w:sz w:val="20"/>
          <w:szCs w:val="20"/>
        </w:rPr>
        <w:t xml:space="preserve">(1) Ministrstvo, pristojno za finance, sporoči mestni občini delež in višino dohodnine iz 6.a člena tega zakona pred predložitvijo proračuna </w:t>
      </w:r>
      <w:r w:rsidR="00ED018D">
        <w:rPr>
          <w:sz w:val="20"/>
          <w:szCs w:val="20"/>
        </w:rPr>
        <w:t xml:space="preserve">države </w:t>
      </w:r>
      <w:r w:rsidRPr="007D5AD4">
        <w:rPr>
          <w:sz w:val="20"/>
          <w:szCs w:val="20"/>
        </w:rPr>
        <w:t xml:space="preserve">oziroma sprememb proračuna </w:t>
      </w:r>
      <w:r w:rsidR="00ED018D">
        <w:rPr>
          <w:sz w:val="20"/>
          <w:szCs w:val="20"/>
        </w:rPr>
        <w:t xml:space="preserve">države </w:t>
      </w:r>
      <w:r w:rsidRPr="007D5AD4">
        <w:rPr>
          <w:sz w:val="20"/>
          <w:szCs w:val="20"/>
        </w:rPr>
        <w:t xml:space="preserve">državnemu zboru. Delež in višina dohodnine iz prejšnjega stavka se upoštevata pri pripravi proračunov za naslednje proračunsko leto in leto, ki temu sledi. </w:t>
      </w:r>
    </w:p>
    <w:p w:rsidR="00583B04" w:rsidRPr="007D5AD4" w:rsidRDefault="00583B04" w:rsidP="00583B04">
      <w:pPr>
        <w:pStyle w:val="Odstavek"/>
        <w:spacing w:before="0"/>
        <w:ind w:firstLine="0"/>
        <w:jc w:val="left"/>
        <w:rPr>
          <w:sz w:val="20"/>
          <w:szCs w:val="20"/>
        </w:rPr>
      </w:pPr>
    </w:p>
    <w:p w:rsidR="00583B04" w:rsidRPr="007D5AD4" w:rsidRDefault="00583B04" w:rsidP="00583B04">
      <w:pPr>
        <w:pStyle w:val="Odstavek"/>
        <w:spacing w:before="0"/>
        <w:ind w:firstLine="0"/>
        <w:jc w:val="left"/>
        <w:rPr>
          <w:sz w:val="20"/>
          <w:szCs w:val="20"/>
        </w:rPr>
      </w:pPr>
      <w:r w:rsidRPr="007D5AD4">
        <w:rPr>
          <w:sz w:val="20"/>
          <w:szCs w:val="20"/>
        </w:rPr>
        <w:t>(2) Vlada z uredbo določi način nakazovanja deleža dohodnine mestni občini.«</w:t>
      </w:r>
    </w:p>
    <w:p w:rsidR="00583B04" w:rsidRPr="007D5AD4" w:rsidRDefault="00583B04" w:rsidP="00583B04">
      <w:pPr>
        <w:spacing w:line="240" w:lineRule="auto"/>
        <w:jc w:val="both"/>
        <w:rPr>
          <w:rFonts w:cs="Arial"/>
          <w:szCs w:val="20"/>
        </w:rPr>
      </w:pPr>
    </w:p>
    <w:p w:rsidR="00583B04" w:rsidRPr="007D5AD4" w:rsidRDefault="00583B04" w:rsidP="00583B04">
      <w:pPr>
        <w:spacing w:line="240" w:lineRule="auto"/>
        <w:jc w:val="both"/>
        <w:rPr>
          <w:rFonts w:cs="Arial"/>
          <w:szCs w:val="20"/>
        </w:rPr>
      </w:pPr>
    </w:p>
    <w:p w:rsidR="00583B04" w:rsidRPr="007D5AD4" w:rsidRDefault="00583B04" w:rsidP="00583B04">
      <w:pPr>
        <w:spacing w:line="240" w:lineRule="auto"/>
        <w:jc w:val="both"/>
        <w:rPr>
          <w:rFonts w:cs="Arial"/>
          <w:szCs w:val="20"/>
        </w:rPr>
      </w:pPr>
    </w:p>
    <w:p w:rsidR="00583B04" w:rsidRPr="007D5AD4" w:rsidRDefault="00583B04" w:rsidP="00583B04">
      <w:pPr>
        <w:spacing w:line="240" w:lineRule="auto"/>
        <w:jc w:val="both"/>
        <w:rPr>
          <w:rFonts w:cs="Arial"/>
          <w:szCs w:val="20"/>
        </w:rPr>
      </w:pPr>
    </w:p>
    <w:p w:rsidR="00583B04" w:rsidRPr="007D5AD4" w:rsidRDefault="00583B04" w:rsidP="00583B04">
      <w:pPr>
        <w:spacing w:line="240" w:lineRule="auto"/>
        <w:jc w:val="center"/>
        <w:rPr>
          <w:rFonts w:cs="Arial"/>
          <w:b/>
          <w:szCs w:val="20"/>
        </w:rPr>
      </w:pPr>
      <w:r w:rsidRPr="007D5AD4">
        <w:rPr>
          <w:rFonts w:cs="Arial"/>
          <w:b/>
          <w:szCs w:val="20"/>
        </w:rPr>
        <w:t>PREHODNE IN KONČNE DOLOČBE</w:t>
      </w:r>
    </w:p>
    <w:p w:rsidR="00583B04" w:rsidRPr="007D5AD4" w:rsidRDefault="00583B04" w:rsidP="00583B04">
      <w:pPr>
        <w:spacing w:line="240" w:lineRule="auto"/>
        <w:rPr>
          <w:rFonts w:cs="Arial"/>
          <w:szCs w:val="20"/>
        </w:rPr>
      </w:pPr>
    </w:p>
    <w:p w:rsidR="00583B04" w:rsidRPr="007D5AD4" w:rsidRDefault="00583B04" w:rsidP="00583B04">
      <w:pPr>
        <w:numPr>
          <w:ilvl w:val="0"/>
          <w:numId w:val="7"/>
        </w:numPr>
        <w:spacing w:line="240" w:lineRule="auto"/>
        <w:jc w:val="center"/>
        <w:rPr>
          <w:rFonts w:cs="Arial"/>
          <w:b/>
          <w:szCs w:val="20"/>
        </w:rPr>
      </w:pPr>
      <w:r w:rsidRPr="007D5AD4">
        <w:rPr>
          <w:rFonts w:cs="Arial"/>
          <w:b/>
          <w:szCs w:val="20"/>
        </w:rPr>
        <w:t>člen</w:t>
      </w:r>
    </w:p>
    <w:p w:rsidR="00583B04" w:rsidRPr="007D5AD4" w:rsidRDefault="00583B04" w:rsidP="00583B04">
      <w:pPr>
        <w:spacing w:line="240" w:lineRule="auto"/>
        <w:rPr>
          <w:rFonts w:cs="Arial"/>
          <w:szCs w:val="20"/>
        </w:rPr>
      </w:pPr>
    </w:p>
    <w:p w:rsidR="00583B04" w:rsidRPr="007D5AD4" w:rsidRDefault="00583B04" w:rsidP="00583B04">
      <w:pPr>
        <w:spacing w:line="240" w:lineRule="auto"/>
        <w:jc w:val="both"/>
        <w:rPr>
          <w:rFonts w:cs="Arial"/>
          <w:szCs w:val="20"/>
        </w:rPr>
      </w:pPr>
      <w:r w:rsidRPr="007D5AD4">
        <w:rPr>
          <w:rFonts w:cs="Arial"/>
          <w:szCs w:val="20"/>
        </w:rPr>
        <w:t>Vlada sprejme uredbo iz drugega odstavka spremenjenega 6.a člena zakona najpozneje v 30 dneh po uveljavitvi tega zakona.</w:t>
      </w:r>
    </w:p>
    <w:p w:rsidR="00583B04" w:rsidRPr="007D5AD4" w:rsidRDefault="00583B04" w:rsidP="00583B04">
      <w:pPr>
        <w:spacing w:line="240" w:lineRule="auto"/>
        <w:jc w:val="both"/>
        <w:rPr>
          <w:rFonts w:cs="Arial"/>
          <w:szCs w:val="20"/>
        </w:rPr>
      </w:pPr>
    </w:p>
    <w:p w:rsidR="00583B04" w:rsidRPr="007D5AD4" w:rsidRDefault="00583B04" w:rsidP="00583B04">
      <w:pPr>
        <w:numPr>
          <w:ilvl w:val="0"/>
          <w:numId w:val="7"/>
        </w:numPr>
        <w:spacing w:line="240" w:lineRule="auto"/>
        <w:jc w:val="center"/>
        <w:rPr>
          <w:rFonts w:cs="Arial"/>
          <w:b/>
          <w:szCs w:val="20"/>
        </w:rPr>
      </w:pPr>
      <w:r w:rsidRPr="007D5AD4">
        <w:rPr>
          <w:rFonts w:cs="Arial"/>
          <w:b/>
          <w:szCs w:val="20"/>
        </w:rPr>
        <w:t>člen</w:t>
      </w:r>
    </w:p>
    <w:p w:rsidR="00583B04" w:rsidRPr="007D5AD4" w:rsidRDefault="00583B04" w:rsidP="00583B04">
      <w:pPr>
        <w:spacing w:line="240" w:lineRule="auto"/>
        <w:jc w:val="center"/>
        <w:rPr>
          <w:rFonts w:cs="Arial"/>
          <w:szCs w:val="20"/>
        </w:rPr>
      </w:pPr>
    </w:p>
    <w:p w:rsidR="00583B04" w:rsidRPr="007D5AD4" w:rsidRDefault="00583B04" w:rsidP="00583B04">
      <w:pPr>
        <w:spacing w:line="240" w:lineRule="auto"/>
        <w:jc w:val="both"/>
        <w:rPr>
          <w:rFonts w:cs="Arial"/>
          <w:szCs w:val="20"/>
        </w:rPr>
      </w:pPr>
      <w:r w:rsidRPr="007D5AD4">
        <w:rPr>
          <w:rFonts w:cs="Arial"/>
          <w:szCs w:val="20"/>
        </w:rPr>
        <w:t>Za leto 201</w:t>
      </w:r>
      <w:r w:rsidR="00F621E2" w:rsidRPr="007D5AD4">
        <w:rPr>
          <w:rFonts w:cs="Arial"/>
          <w:szCs w:val="20"/>
        </w:rPr>
        <w:t>8</w:t>
      </w:r>
      <w:r w:rsidRPr="007D5AD4">
        <w:rPr>
          <w:rFonts w:cs="Arial"/>
          <w:szCs w:val="20"/>
        </w:rPr>
        <w:t xml:space="preserve"> pripada mestni občini 0,</w:t>
      </w:r>
      <w:r w:rsidR="00F621E2" w:rsidRPr="007D5AD4">
        <w:rPr>
          <w:rFonts w:cs="Arial"/>
          <w:szCs w:val="20"/>
        </w:rPr>
        <w:t>5</w:t>
      </w:r>
      <w:r w:rsidRPr="007D5AD4">
        <w:rPr>
          <w:rFonts w:cs="Arial"/>
          <w:szCs w:val="20"/>
        </w:rPr>
        <w:t>0 % dohodnine, vplačane v letu 201</w:t>
      </w:r>
      <w:r w:rsidR="00F621E2" w:rsidRPr="007D5AD4">
        <w:rPr>
          <w:rFonts w:cs="Arial"/>
          <w:szCs w:val="20"/>
        </w:rPr>
        <w:t>6</w:t>
      </w:r>
      <w:r w:rsidRPr="007D5AD4">
        <w:rPr>
          <w:rFonts w:cs="Arial"/>
          <w:szCs w:val="20"/>
        </w:rPr>
        <w:t xml:space="preserve">. </w:t>
      </w:r>
    </w:p>
    <w:p w:rsidR="00583B04" w:rsidRPr="007D5AD4" w:rsidRDefault="00583B04" w:rsidP="00583B04">
      <w:pPr>
        <w:spacing w:line="240" w:lineRule="auto"/>
        <w:rPr>
          <w:rFonts w:cs="Arial"/>
          <w:szCs w:val="20"/>
        </w:rPr>
      </w:pPr>
    </w:p>
    <w:p w:rsidR="00583B04" w:rsidRPr="007D5AD4" w:rsidRDefault="00583B04" w:rsidP="00583B04">
      <w:pPr>
        <w:numPr>
          <w:ilvl w:val="0"/>
          <w:numId w:val="7"/>
        </w:numPr>
        <w:spacing w:line="240" w:lineRule="auto"/>
        <w:jc w:val="center"/>
        <w:rPr>
          <w:rFonts w:cs="Arial"/>
          <w:b/>
          <w:szCs w:val="20"/>
        </w:rPr>
      </w:pPr>
      <w:r w:rsidRPr="007D5AD4">
        <w:rPr>
          <w:rFonts w:cs="Arial"/>
          <w:b/>
          <w:szCs w:val="20"/>
        </w:rPr>
        <w:t>člen</w:t>
      </w:r>
    </w:p>
    <w:p w:rsidR="00583B04" w:rsidRPr="007D5AD4" w:rsidRDefault="00583B04" w:rsidP="00583B04">
      <w:pPr>
        <w:spacing w:line="240" w:lineRule="auto"/>
        <w:jc w:val="both"/>
        <w:rPr>
          <w:rFonts w:cs="Arial"/>
          <w:szCs w:val="20"/>
        </w:rPr>
      </w:pPr>
    </w:p>
    <w:p w:rsidR="00583B04" w:rsidRPr="007D5AD4" w:rsidRDefault="00583B04" w:rsidP="00583B04">
      <w:pPr>
        <w:spacing w:line="240" w:lineRule="auto"/>
        <w:jc w:val="both"/>
        <w:rPr>
          <w:rFonts w:cs="Arial"/>
          <w:szCs w:val="20"/>
        </w:rPr>
      </w:pPr>
      <w:r w:rsidRPr="007D5AD4">
        <w:rPr>
          <w:rFonts w:cs="Arial"/>
          <w:szCs w:val="20"/>
        </w:rPr>
        <w:t>Z dnem uveljavitve tega zakona preneha veljati Uredba o metodologiji za izračun razmerja med ocenjenimi stroški financiranja nalog in programov glavnega mesta in dohodnino (Uradni list RS, št. 14/10).</w:t>
      </w:r>
    </w:p>
    <w:p w:rsidR="00583B04" w:rsidRPr="007D5AD4" w:rsidRDefault="00583B04" w:rsidP="00583B04">
      <w:pPr>
        <w:spacing w:line="240" w:lineRule="auto"/>
        <w:rPr>
          <w:rFonts w:cs="Arial"/>
          <w:b/>
          <w:szCs w:val="20"/>
        </w:rPr>
      </w:pPr>
    </w:p>
    <w:p w:rsidR="00583B04" w:rsidRPr="007D5AD4" w:rsidRDefault="00583B04" w:rsidP="00583B04">
      <w:pPr>
        <w:numPr>
          <w:ilvl w:val="0"/>
          <w:numId w:val="7"/>
        </w:numPr>
        <w:spacing w:line="240" w:lineRule="auto"/>
        <w:jc w:val="center"/>
        <w:rPr>
          <w:rFonts w:cs="Arial"/>
          <w:b/>
          <w:szCs w:val="20"/>
        </w:rPr>
      </w:pPr>
      <w:r w:rsidRPr="007D5AD4">
        <w:rPr>
          <w:rFonts w:cs="Arial"/>
          <w:b/>
          <w:szCs w:val="20"/>
        </w:rPr>
        <w:t>člen</w:t>
      </w:r>
    </w:p>
    <w:p w:rsidR="00583B04" w:rsidRPr="007D5AD4" w:rsidRDefault="00583B04" w:rsidP="00583B04">
      <w:pPr>
        <w:spacing w:line="240" w:lineRule="auto"/>
        <w:rPr>
          <w:rFonts w:cs="Arial"/>
          <w:szCs w:val="20"/>
        </w:rPr>
      </w:pPr>
    </w:p>
    <w:p w:rsidR="00583B04" w:rsidRPr="007D5AD4" w:rsidRDefault="00583B04" w:rsidP="00583B04">
      <w:pPr>
        <w:spacing w:line="240" w:lineRule="auto"/>
        <w:rPr>
          <w:rFonts w:cs="Arial"/>
          <w:szCs w:val="20"/>
        </w:rPr>
      </w:pPr>
      <w:r w:rsidRPr="007D5AD4">
        <w:rPr>
          <w:rFonts w:cs="Arial"/>
          <w:szCs w:val="20"/>
        </w:rPr>
        <w:t>Ta zakon začne veljati naslednji dan po objavi v Uradnem listu Republike Slovenje.</w:t>
      </w:r>
    </w:p>
    <w:p w:rsidR="00583B04" w:rsidRPr="007D5AD4" w:rsidRDefault="00583B04" w:rsidP="00583B04">
      <w:pPr>
        <w:spacing w:line="240" w:lineRule="auto"/>
        <w:rPr>
          <w:rFonts w:cs="Arial"/>
          <w:szCs w:val="20"/>
        </w:rPr>
      </w:pPr>
    </w:p>
    <w:p w:rsidR="00583B04" w:rsidRPr="007D5AD4" w:rsidRDefault="00583B04" w:rsidP="00583B04">
      <w:pPr>
        <w:rPr>
          <w:rFonts w:cs="Arial"/>
          <w:szCs w:val="20"/>
        </w:rPr>
      </w:pPr>
    </w:p>
    <w:p w:rsidR="00583B04" w:rsidRPr="007D5AD4" w:rsidRDefault="00583B04" w:rsidP="00583B04">
      <w:pPr>
        <w:spacing w:line="240" w:lineRule="auto"/>
        <w:jc w:val="both"/>
        <w:rPr>
          <w:rFonts w:cs="Arial"/>
          <w:szCs w:val="20"/>
        </w:rPr>
      </w:pPr>
    </w:p>
    <w:p w:rsidR="00583B04" w:rsidRPr="007D5AD4" w:rsidRDefault="00583B04" w:rsidP="00583B04">
      <w:pPr>
        <w:spacing w:line="240" w:lineRule="auto"/>
        <w:jc w:val="both"/>
        <w:rPr>
          <w:rFonts w:cs="Arial"/>
          <w:szCs w:val="20"/>
        </w:rPr>
      </w:pPr>
    </w:p>
    <w:p w:rsidR="00583B04" w:rsidRPr="007D5AD4" w:rsidRDefault="00583B04" w:rsidP="00583B04">
      <w:pPr>
        <w:spacing w:line="240" w:lineRule="auto"/>
        <w:rPr>
          <w:rFonts w:cs="Arial"/>
          <w:szCs w:val="20"/>
        </w:rPr>
      </w:pPr>
    </w:p>
    <w:p w:rsidR="00583B04" w:rsidRPr="007D5AD4" w:rsidRDefault="00583B04" w:rsidP="00583B04">
      <w:pPr>
        <w:spacing w:line="240" w:lineRule="auto"/>
        <w:rPr>
          <w:rFonts w:cs="Arial"/>
          <w:szCs w:val="20"/>
        </w:rPr>
      </w:pPr>
      <w:r w:rsidRPr="007D5AD4">
        <w:rPr>
          <w:rFonts w:cs="Arial"/>
          <w:szCs w:val="20"/>
        </w:rPr>
        <w:br w:type="page"/>
      </w:r>
    </w:p>
    <w:p w:rsidR="00583B04" w:rsidRPr="007D5AD4" w:rsidRDefault="00583B04" w:rsidP="00583B04">
      <w:pPr>
        <w:spacing w:line="240" w:lineRule="auto"/>
        <w:rPr>
          <w:rFonts w:cs="Arial"/>
          <w:b/>
          <w:szCs w:val="20"/>
        </w:rPr>
      </w:pPr>
      <w:r w:rsidRPr="007D5AD4">
        <w:rPr>
          <w:rFonts w:cs="Arial"/>
          <w:b/>
          <w:szCs w:val="20"/>
        </w:rPr>
        <w:lastRenderedPageBreak/>
        <w:t>III. OBRAZLOŽITEV</w:t>
      </w:r>
    </w:p>
    <w:p w:rsidR="00583B04" w:rsidRPr="007D5AD4" w:rsidRDefault="00583B04" w:rsidP="00583B04">
      <w:pPr>
        <w:spacing w:line="240" w:lineRule="auto"/>
        <w:rPr>
          <w:rFonts w:cs="Arial"/>
          <w:szCs w:val="20"/>
        </w:rPr>
      </w:pPr>
    </w:p>
    <w:p w:rsidR="00583B04" w:rsidRPr="007D5AD4" w:rsidRDefault="00583B04" w:rsidP="00583B04">
      <w:pPr>
        <w:spacing w:line="240" w:lineRule="auto"/>
        <w:rPr>
          <w:rFonts w:cs="Arial"/>
          <w:b/>
          <w:szCs w:val="20"/>
        </w:rPr>
      </w:pPr>
      <w:r w:rsidRPr="007D5AD4">
        <w:rPr>
          <w:rFonts w:cs="Arial"/>
          <w:b/>
          <w:szCs w:val="20"/>
        </w:rPr>
        <w:t>K 1. členu:</w:t>
      </w:r>
    </w:p>
    <w:p w:rsidR="00583B04" w:rsidRPr="007D5AD4" w:rsidRDefault="00583B04" w:rsidP="00583B04">
      <w:pPr>
        <w:spacing w:line="240" w:lineRule="auto"/>
        <w:jc w:val="both"/>
        <w:rPr>
          <w:rFonts w:cs="Arial"/>
          <w:szCs w:val="20"/>
        </w:rPr>
      </w:pPr>
    </w:p>
    <w:p w:rsidR="00583B04" w:rsidRPr="007D5AD4" w:rsidRDefault="00583B04" w:rsidP="00583B04">
      <w:pPr>
        <w:spacing w:line="240" w:lineRule="auto"/>
        <w:jc w:val="both"/>
        <w:rPr>
          <w:rFonts w:cs="Arial"/>
          <w:szCs w:val="20"/>
        </w:rPr>
      </w:pPr>
      <w:r w:rsidRPr="007D5AD4">
        <w:rPr>
          <w:rFonts w:cs="Arial"/>
          <w:szCs w:val="20"/>
        </w:rPr>
        <w:t>S 1. členom se spreminja 6.a člen zakona tako, da se namesto določenega deleža dohodnine, ki v skladu z zakonom pripada Mestni občini Ljubljana kot glavnemu mestu Republike Slovenije, določa izračun deleža po metodologiji za izračun razmerja med stroški in prihodki, to je dohodnino. Delež se izračuna najpozneje do 15. maja tekočega leta za naslednje proračunsko leto. Vendar pa se mestni občini zagotovi delež najmanj v višini 0,</w:t>
      </w:r>
      <w:r w:rsidR="00F621E2" w:rsidRPr="007D5AD4">
        <w:rPr>
          <w:rFonts w:cs="Arial"/>
          <w:szCs w:val="20"/>
        </w:rPr>
        <w:t>5</w:t>
      </w:r>
      <w:r w:rsidRPr="007D5AD4">
        <w:rPr>
          <w:rFonts w:cs="Arial"/>
          <w:szCs w:val="20"/>
        </w:rPr>
        <w:t>0 %, če je izračunani delež nižji od 0,</w:t>
      </w:r>
      <w:r w:rsidR="00F621E2" w:rsidRPr="007D5AD4">
        <w:rPr>
          <w:rFonts w:cs="Arial"/>
          <w:szCs w:val="20"/>
        </w:rPr>
        <w:t>5</w:t>
      </w:r>
      <w:r w:rsidRPr="007D5AD4">
        <w:rPr>
          <w:rFonts w:cs="Arial"/>
          <w:szCs w:val="20"/>
        </w:rPr>
        <w:t>0 % oziroma največ 0,</w:t>
      </w:r>
      <w:r w:rsidR="00F621E2" w:rsidRPr="007D5AD4">
        <w:rPr>
          <w:rFonts w:cs="Arial"/>
          <w:szCs w:val="20"/>
        </w:rPr>
        <w:t>8</w:t>
      </w:r>
      <w:r w:rsidRPr="007D5AD4">
        <w:rPr>
          <w:rFonts w:cs="Arial"/>
          <w:szCs w:val="20"/>
        </w:rPr>
        <w:t>0 %, če je izračunan delež višji od 0,</w:t>
      </w:r>
      <w:r w:rsidR="00F621E2" w:rsidRPr="007D5AD4">
        <w:rPr>
          <w:rFonts w:cs="Arial"/>
          <w:szCs w:val="20"/>
        </w:rPr>
        <w:t>8</w:t>
      </w:r>
      <w:r w:rsidRPr="007D5AD4">
        <w:rPr>
          <w:rFonts w:cs="Arial"/>
          <w:szCs w:val="20"/>
        </w:rPr>
        <w:t>0 % dohodnine. Dosedanja ureditev je ob z zakonom določenem deležu dohodnine (0,73 %) določala, da se delež vsaka štiri leta preverja v skladu z metodologijo za izračun razmerja med ocenjenimi stroški in dohodnino, določeno z uredbo vlade. Vendar ni bil jasno določen pomen tega izračuna deleža dohodnine, kar je povzročalo nejasnost zakonske ureditve. S predlagano določbo je ta nejasnost nedvomno odpravljena tako, da je delež odvisen od izračuna, vendar pa je navzdol in navzgor omejen</w:t>
      </w:r>
      <w:r w:rsidR="00F621E2" w:rsidRPr="007D5AD4">
        <w:rPr>
          <w:rFonts w:cs="Arial"/>
          <w:szCs w:val="20"/>
        </w:rPr>
        <w:t>, izračun pa se opravi za vsako prihodnje proračunsko leto in leto, ki temu sledi</w:t>
      </w:r>
    </w:p>
    <w:p w:rsidR="00583B04" w:rsidRPr="007D5AD4" w:rsidRDefault="00583B04" w:rsidP="00583B04">
      <w:pPr>
        <w:spacing w:line="240" w:lineRule="auto"/>
        <w:jc w:val="both"/>
        <w:rPr>
          <w:rFonts w:cs="Arial"/>
          <w:szCs w:val="20"/>
        </w:rPr>
      </w:pPr>
    </w:p>
    <w:p w:rsidR="00583B04" w:rsidRPr="007D5AD4" w:rsidRDefault="00583B04" w:rsidP="00583B04">
      <w:pPr>
        <w:spacing w:line="240" w:lineRule="auto"/>
        <w:jc w:val="both"/>
        <w:rPr>
          <w:rFonts w:cs="Arial"/>
          <w:b/>
          <w:szCs w:val="20"/>
        </w:rPr>
      </w:pPr>
      <w:r w:rsidRPr="007D5AD4">
        <w:rPr>
          <w:rFonts w:cs="Arial"/>
          <w:b/>
          <w:szCs w:val="20"/>
        </w:rPr>
        <w:t>K 2. členu:</w:t>
      </w:r>
    </w:p>
    <w:p w:rsidR="00583B04" w:rsidRPr="007D5AD4" w:rsidRDefault="00583B04" w:rsidP="00583B04">
      <w:pPr>
        <w:spacing w:line="240" w:lineRule="auto"/>
        <w:jc w:val="both"/>
        <w:rPr>
          <w:rFonts w:cs="Arial"/>
          <w:szCs w:val="20"/>
        </w:rPr>
      </w:pPr>
    </w:p>
    <w:p w:rsidR="00583B04" w:rsidRPr="007D5AD4" w:rsidRDefault="00583B04" w:rsidP="00583B04">
      <w:pPr>
        <w:spacing w:line="240" w:lineRule="auto"/>
        <w:jc w:val="both"/>
        <w:rPr>
          <w:rFonts w:cs="Arial"/>
          <w:szCs w:val="20"/>
        </w:rPr>
      </w:pPr>
      <w:r w:rsidRPr="007D5AD4">
        <w:rPr>
          <w:rFonts w:cs="Arial"/>
          <w:szCs w:val="20"/>
        </w:rPr>
        <w:t>S predlaganimi spremembami se 6.b člen usklajuje z zakonom, ki ureja javne finance, glede vrste proračunskih aktov, ob katerih ministrstvo, pristojno za finance, sporoči Mestni občini Ljubljana delež in višino dohodnine iz 6.a člena zakona. To sta predlog proračuna in predlog sprememb proračuna. Izračunani delež in višino dohodnine bo Mestna občina Ljubljana upoštevala pri pripravi proračunov za naslednje proračunsko leto in leto, ki temu sledi (razpolagala bo z informacijo o pripadajočih prihodkih od dohodnine).</w:t>
      </w:r>
    </w:p>
    <w:p w:rsidR="00583B04" w:rsidRPr="007D5AD4" w:rsidRDefault="00583B04" w:rsidP="00583B04">
      <w:pPr>
        <w:spacing w:line="240" w:lineRule="auto"/>
        <w:jc w:val="both"/>
        <w:rPr>
          <w:rFonts w:cs="Arial"/>
          <w:szCs w:val="20"/>
        </w:rPr>
      </w:pPr>
    </w:p>
    <w:p w:rsidR="00583B04" w:rsidRPr="007D5AD4" w:rsidRDefault="00583B04" w:rsidP="00583B04">
      <w:pPr>
        <w:spacing w:line="240" w:lineRule="auto"/>
        <w:jc w:val="both"/>
        <w:rPr>
          <w:rFonts w:cs="Arial"/>
          <w:szCs w:val="20"/>
        </w:rPr>
      </w:pPr>
      <w:r w:rsidRPr="007D5AD4">
        <w:rPr>
          <w:rFonts w:cs="Arial"/>
          <w:szCs w:val="20"/>
        </w:rPr>
        <w:t xml:space="preserve">V drugem odstavku pa se določa le pravna podlaga za uredbo o načinu nakazovanja dohodnine Mestni občini Ljubljana. To ureja Uredba o načinu nakazovanja dohodnine po Zakonu o glavnem mestu Republike Slovenije (Uradni list RS, št. 14/10). </w:t>
      </w:r>
    </w:p>
    <w:tbl>
      <w:tblPr>
        <w:tblW w:w="5000" w:type="pct"/>
        <w:tblCellSpacing w:w="15" w:type="dxa"/>
        <w:tblLook w:val="04A0" w:firstRow="1" w:lastRow="0" w:firstColumn="1" w:lastColumn="0" w:noHBand="0" w:noVBand="1"/>
      </w:tblPr>
      <w:tblGrid>
        <w:gridCol w:w="9072"/>
      </w:tblGrid>
      <w:tr w:rsidR="00583B04" w:rsidRPr="007D5AD4" w:rsidTr="00583B04">
        <w:trPr>
          <w:tblCellSpacing w:w="15" w:type="dxa"/>
        </w:trPr>
        <w:tc>
          <w:tcPr>
            <w:tcW w:w="0" w:type="auto"/>
            <w:tcMar>
              <w:top w:w="15" w:type="dxa"/>
              <w:left w:w="15" w:type="dxa"/>
              <w:bottom w:w="15" w:type="dxa"/>
              <w:right w:w="15" w:type="dxa"/>
            </w:tcMar>
            <w:vAlign w:val="center"/>
          </w:tcPr>
          <w:p w:rsidR="00583B04" w:rsidRPr="00ED018D" w:rsidRDefault="00583B04">
            <w:pPr>
              <w:spacing w:line="240" w:lineRule="auto"/>
              <w:rPr>
                <w:rFonts w:cs="Arial"/>
                <w:color w:val="626060"/>
                <w:szCs w:val="20"/>
                <w:lang w:eastAsia="sl-SI"/>
              </w:rPr>
            </w:pPr>
          </w:p>
        </w:tc>
      </w:tr>
    </w:tbl>
    <w:p w:rsidR="00583B04" w:rsidRPr="007D5AD4" w:rsidRDefault="00583B04" w:rsidP="00583B04">
      <w:pPr>
        <w:spacing w:line="240" w:lineRule="auto"/>
        <w:jc w:val="both"/>
        <w:rPr>
          <w:rFonts w:cs="Arial"/>
          <w:b/>
          <w:szCs w:val="20"/>
        </w:rPr>
      </w:pPr>
      <w:r w:rsidRPr="007D5AD4">
        <w:rPr>
          <w:rFonts w:cs="Arial"/>
          <w:b/>
          <w:szCs w:val="20"/>
        </w:rPr>
        <w:t>K 3. členu:</w:t>
      </w:r>
    </w:p>
    <w:p w:rsidR="00583B04" w:rsidRPr="007D5AD4" w:rsidRDefault="00583B04" w:rsidP="00583B04">
      <w:pPr>
        <w:spacing w:line="240" w:lineRule="auto"/>
        <w:jc w:val="both"/>
        <w:rPr>
          <w:rFonts w:cs="Arial"/>
          <w:szCs w:val="20"/>
        </w:rPr>
      </w:pPr>
    </w:p>
    <w:p w:rsidR="00583B04" w:rsidRPr="007D5AD4" w:rsidRDefault="00583B04" w:rsidP="00583B04">
      <w:pPr>
        <w:spacing w:line="240" w:lineRule="auto"/>
        <w:jc w:val="both"/>
        <w:rPr>
          <w:rFonts w:cs="Arial"/>
          <w:szCs w:val="20"/>
        </w:rPr>
      </w:pPr>
      <w:r w:rsidRPr="007D5AD4">
        <w:rPr>
          <w:rFonts w:cs="Arial"/>
          <w:szCs w:val="20"/>
        </w:rPr>
        <w:t>S 3. členom se določa trideset dnevni rok za sprejetje nove uredbe o metodologiji za izračun deleža dohodnine, ki bo za posamezno proračunsko leto pripadal Mestni občini Ljubljana.</w:t>
      </w:r>
    </w:p>
    <w:p w:rsidR="00583B04" w:rsidRPr="007D5AD4" w:rsidRDefault="00583B04" w:rsidP="00583B04">
      <w:pPr>
        <w:spacing w:line="240" w:lineRule="auto"/>
        <w:jc w:val="both"/>
        <w:rPr>
          <w:rFonts w:cs="Arial"/>
          <w:szCs w:val="20"/>
        </w:rPr>
      </w:pPr>
    </w:p>
    <w:p w:rsidR="00583B04" w:rsidRPr="007D5AD4" w:rsidRDefault="00583B04" w:rsidP="00583B04">
      <w:pPr>
        <w:spacing w:line="240" w:lineRule="auto"/>
        <w:jc w:val="both"/>
        <w:rPr>
          <w:rFonts w:cs="Arial"/>
          <w:b/>
          <w:szCs w:val="20"/>
        </w:rPr>
      </w:pPr>
      <w:r w:rsidRPr="007D5AD4">
        <w:rPr>
          <w:rFonts w:cs="Arial"/>
          <w:b/>
          <w:szCs w:val="20"/>
        </w:rPr>
        <w:t>K 4. členu:</w:t>
      </w:r>
    </w:p>
    <w:p w:rsidR="00583B04" w:rsidRPr="007D5AD4" w:rsidRDefault="00583B04" w:rsidP="00583B04">
      <w:pPr>
        <w:spacing w:line="240" w:lineRule="auto"/>
        <w:jc w:val="both"/>
        <w:rPr>
          <w:rFonts w:cs="Arial"/>
          <w:szCs w:val="20"/>
        </w:rPr>
      </w:pPr>
    </w:p>
    <w:p w:rsidR="00583B04" w:rsidRPr="007D5AD4" w:rsidRDefault="00583B04" w:rsidP="00583B04">
      <w:pPr>
        <w:spacing w:line="240" w:lineRule="auto"/>
        <w:jc w:val="both"/>
        <w:rPr>
          <w:rFonts w:cs="Arial"/>
          <w:szCs w:val="20"/>
        </w:rPr>
      </w:pPr>
      <w:r w:rsidRPr="007D5AD4">
        <w:rPr>
          <w:rFonts w:cs="Arial"/>
          <w:szCs w:val="20"/>
        </w:rPr>
        <w:t>S 4. členom se določa delež dohodnine, ki pripada Mestni občini Ljubljana za leto 201</w:t>
      </w:r>
      <w:r w:rsidR="00D63555" w:rsidRPr="007D5AD4">
        <w:rPr>
          <w:rFonts w:cs="Arial"/>
          <w:szCs w:val="20"/>
        </w:rPr>
        <w:t>8</w:t>
      </w:r>
      <w:r w:rsidRPr="007D5AD4">
        <w:rPr>
          <w:rFonts w:cs="Arial"/>
          <w:szCs w:val="20"/>
        </w:rPr>
        <w:t>. Nova uredba o metodologiji za izračun deleža dohodnine, ki za posamezno proračunsko leto pripada Mestni občin Ljubljana</w:t>
      </w:r>
      <w:r w:rsidR="00756A9D">
        <w:rPr>
          <w:rFonts w:cs="Arial"/>
          <w:szCs w:val="20"/>
        </w:rPr>
        <w:t>,</w:t>
      </w:r>
      <w:r w:rsidRPr="007D5AD4">
        <w:rPr>
          <w:rFonts w:cs="Arial"/>
          <w:szCs w:val="20"/>
        </w:rPr>
        <w:t xml:space="preserve"> se bo namreč uporabljala za leto 201</w:t>
      </w:r>
      <w:r w:rsidR="00D63555" w:rsidRPr="007D5AD4">
        <w:rPr>
          <w:rFonts w:cs="Arial"/>
          <w:szCs w:val="20"/>
        </w:rPr>
        <w:t>9</w:t>
      </w:r>
      <w:r w:rsidRPr="007D5AD4">
        <w:rPr>
          <w:rFonts w:cs="Arial"/>
          <w:szCs w:val="20"/>
        </w:rPr>
        <w:t xml:space="preserve">. Za prehodno obdobje se tako določa najnižji delež glede na predlagane spremembe 6.a člena.  </w:t>
      </w:r>
    </w:p>
    <w:p w:rsidR="00583B04" w:rsidRPr="007D5AD4" w:rsidRDefault="00583B04" w:rsidP="00583B04">
      <w:pPr>
        <w:spacing w:line="240" w:lineRule="auto"/>
        <w:jc w:val="both"/>
        <w:rPr>
          <w:rFonts w:cs="Arial"/>
          <w:szCs w:val="20"/>
        </w:rPr>
      </w:pPr>
    </w:p>
    <w:p w:rsidR="00583B04" w:rsidRPr="007D5AD4" w:rsidRDefault="00583B04" w:rsidP="00583B04">
      <w:pPr>
        <w:spacing w:line="240" w:lineRule="auto"/>
        <w:jc w:val="both"/>
        <w:rPr>
          <w:rFonts w:cs="Arial"/>
          <w:b/>
          <w:szCs w:val="20"/>
        </w:rPr>
      </w:pPr>
      <w:r w:rsidRPr="007D5AD4">
        <w:rPr>
          <w:rFonts w:cs="Arial"/>
          <w:b/>
          <w:szCs w:val="20"/>
        </w:rPr>
        <w:t>K 5. členu:</w:t>
      </w:r>
    </w:p>
    <w:p w:rsidR="00583B04" w:rsidRPr="007D5AD4" w:rsidRDefault="00583B04" w:rsidP="00583B04">
      <w:pPr>
        <w:spacing w:line="240" w:lineRule="auto"/>
        <w:jc w:val="both"/>
        <w:rPr>
          <w:rFonts w:cs="Arial"/>
          <w:szCs w:val="20"/>
        </w:rPr>
      </w:pPr>
    </w:p>
    <w:p w:rsidR="00583B04" w:rsidRPr="007D5AD4" w:rsidRDefault="00583B04" w:rsidP="00583B04">
      <w:pPr>
        <w:spacing w:line="240" w:lineRule="auto"/>
        <w:jc w:val="both"/>
        <w:rPr>
          <w:rFonts w:cs="Arial"/>
          <w:szCs w:val="20"/>
        </w:rPr>
      </w:pPr>
      <w:r w:rsidRPr="007D5AD4">
        <w:rPr>
          <w:rFonts w:cs="Arial"/>
          <w:szCs w:val="20"/>
        </w:rPr>
        <w:t xml:space="preserve">S tem členom se razveljavlja Uredba o metodologiji za izračun razmerja med ocenjenimi stroški financiranja nalog in programov glavnega mesta in dohodnino (Uradni list RS, št. 14/10), saj bo morala Vlada RS zaradi spremembe zakona sprejeti novo uredbo. </w:t>
      </w:r>
    </w:p>
    <w:p w:rsidR="00583B04" w:rsidRPr="007D5AD4" w:rsidRDefault="00583B04" w:rsidP="00583B04">
      <w:pPr>
        <w:spacing w:line="240" w:lineRule="auto"/>
        <w:jc w:val="both"/>
        <w:rPr>
          <w:rFonts w:cs="Arial"/>
          <w:szCs w:val="20"/>
        </w:rPr>
      </w:pPr>
    </w:p>
    <w:p w:rsidR="00583B04" w:rsidRPr="007D5AD4" w:rsidRDefault="00583B04" w:rsidP="00583B04">
      <w:pPr>
        <w:spacing w:line="240" w:lineRule="auto"/>
        <w:jc w:val="both"/>
        <w:rPr>
          <w:rFonts w:cs="Arial"/>
          <w:b/>
          <w:szCs w:val="20"/>
        </w:rPr>
      </w:pPr>
      <w:r w:rsidRPr="007D5AD4">
        <w:rPr>
          <w:rFonts w:cs="Arial"/>
          <w:b/>
          <w:szCs w:val="20"/>
        </w:rPr>
        <w:t>K 6. členu:</w:t>
      </w:r>
    </w:p>
    <w:p w:rsidR="00583B04" w:rsidRPr="007D5AD4" w:rsidRDefault="00583B04" w:rsidP="00583B04">
      <w:pPr>
        <w:spacing w:line="240" w:lineRule="auto"/>
        <w:jc w:val="both"/>
        <w:rPr>
          <w:rFonts w:cs="Arial"/>
          <w:szCs w:val="20"/>
        </w:rPr>
      </w:pPr>
    </w:p>
    <w:p w:rsidR="00583B04" w:rsidRPr="007D5AD4" w:rsidRDefault="00583B04" w:rsidP="00583B04">
      <w:pPr>
        <w:spacing w:line="240" w:lineRule="auto"/>
        <w:jc w:val="both"/>
        <w:rPr>
          <w:rFonts w:cs="Arial"/>
          <w:szCs w:val="20"/>
        </w:rPr>
      </w:pPr>
      <w:r w:rsidRPr="007D5AD4">
        <w:rPr>
          <w:rFonts w:cs="Arial"/>
          <w:szCs w:val="20"/>
        </w:rPr>
        <w:t>Določa se uveljavitev zakona.</w:t>
      </w:r>
    </w:p>
    <w:p w:rsidR="00583B04" w:rsidRPr="007D5AD4" w:rsidRDefault="00583B04" w:rsidP="00583B04">
      <w:pPr>
        <w:spacing w:line="240" w:lineRule="auto"/>
        <w:rPr>
          <w:rFonts w:cs="Arial"/>
          <w:szCs w:val="20"/>
        </w:rPr>
      </w:pPr>
    </w:p>
    <w:p w:rsidR="00583B04" w:rsidRPr="007D5AD4" w:rsidRDefault="00583B04" w:rsidP="00583B04">
      <w:pPr>
        <w:spacing w:line="240" w:lineRule="auto"/>
        <w:rPr>
          <w:rFonts w:cs="Arial"/>
          <w:szCs w:val="20"/>
        </w:rPr>
      </w:pPr>
    </w:p>
    <w:p w:rsidR="00583B04" w:rsidRPr="007D5AD4" w:rsidRDefault="00583B04" w:rsidP="00583B04">
      <w:pPr>
        <w:spacing w:line="240" w:lineRule="auto"/>
        <w:rPr>
          <w:rFonts w:cs="Arial"/>
          <w:b/>
          <w:szCs w:val="20"/>
        </w:rPr>
      </w:pPr>
      <w:r w:rsidRPr="007D5AD4">
        <w:rPr>
          <w:rFonts w:cs="Arial"/>
          <w:b/>
          <w:szCs w:val="20"/>
        </w:rPr>
        <w:t xml:space="preserve">IV. ČLENA ZAKONA, KI SE SPREMINJATA </w:t>
      </w:r>
    </w:p>
    <w:p w:rsidR="00583B04" w:rsidRPr="007D5AD4" w:rsidRDefault="00583B04" w:rsidP="00583B04">
      <w:pPr>
        <w:spacing w:line="240" w:lineRule="auto"/>
        <w:rPr>
          <w:rFonts w:cs="Arial"/>
          <w:szCs w:val="20"/>
        </w:rPr>
      </w:pPr>
    </w:p>
    <w:p w:rsidR="00583B04" w:rsidRPr="007D5AD4" w:rsidRDefault="00583B04" w:rsidP="00583B04">
      <w:pPr>
        <w:pStyle w:val="len"/>
        <w:spacing w:before="0"/>
        <w:rPr>
          <w:sz w:val="20"/>
          <w:szCs w:val="20"/>
        </w:rPr>
      </w:pPr>
      <w:r w:rsidRPr="007D5AD4">
        <w:rPr>
          <w:sz w:val="20"/>
          <w:szCs w:val="20"/>
        </w:rPr>
        <w:t>6.a člen</w:t>
      </w:r>
    </w:p>
    <w:p w:rsidR="00583B04" w:rsidRPr="007D5AD4" w:rsidRDefault="00583B04" w:rsidP="00583B04">
      <w:pPr>
        <w:pStyle w:val="Odstavek"/>
        <w:spacing w:before="0"/>
        <w:rPr>
          <w:sz w:val="20"/>
          <w:szCs w:val="20"/>
        </w:rPr>
      </w:pPr>
    </w:p>
    <w:p w:rsidR="00583B04" w:rsidRPr="007D5AD4" w:rsidRDefault="00583B04" w:rsidP="00583B04">
      <w:pPr>
        <w:pStyle w:val="Odstavek"/>
        <w:spacing w:before="0"/>
        <w:rPr>
          <w:sz w:val="20"/>
          <w:szCs w:val="20"/>
        </w:rPr>
      </w:pPr>
      <w:r w:rsidRPr="007D5AD4">
        <w:rPr>
          <w:sz w:val="20"/>
          <w:szCs w:val="20"/>
        </w:rPr>
        <w:t xml:space="preserve">(1) Za financiranje nalog in programov, s katerimi v okviru svojih pristojnosti v skladu s 6. členom tega zakona zagotavlja pogoje za delovanje organov in organizacij ter predstavništev iz 1. člena </w:t>
      </w:r>
      <w:r w:rsidRPr="007D5AD4">
        <w:rPr>
          <w:sz w:val="20"/>
          <w:szCs w:val="20"/>
        </w:rPr>
        <w:lastRenderedPageBreak/>
        <w:t>tega zakona ter v skladu s tem zakonom ni dogovorjeno drugačno financiranje, pripada mestni občini 0,73% dohodnine, vplačane v predpreteklem letu pred letom, za katero se ji izračuna dohodnina.</w:t>
      </w:r>
    </w:p>
    <w:p w:rsidR="00583B04" w:rsidRPr="007D5AD4" w:rsidRDefault="00583B04" w:rsidP="00583B04">
      <w:pPr>
        <w:pStyle w:val="Odstavek"/>
        <w:spacing w:before="0"/>
        <w:rPr>
          <w:sz w:val="20"/>
          <w:szCs w:val="20"/>
        </w:rPr>
      </w:pPr>
      <w:r w:rsidRPr="007D5AD4">
        <w:rPr>
          <w:sz w:val="20"/>
          <w:szCs w:val="20"/>
        </w:rPr>
        <w:t>(2) Mestna občina mora sredstva iz prejšnjega odstavka porabljati namensko. Nadzor nad namensko porabo sredstev se opravlja v skladu z določbami zakona, ki ureja financiranje občin.</w:t>
      </w:r>
    </w:p>
    <w:p w:rsidR="00583B04" w:rsidRPr="007D5AD4" w:rsidRDefault="00583B04" w:rsidP="00583B04">
      <w:pPr>
        <w:pStyle w:val="Odstavek"/>
        <w:spacing w:before="0"/>
        <w:rPr>
          <w:sz w:val="20"/>
          <w:szCs w:val="20"/>
        </w:rPr>
      </w:pPr>
    </w:p>
    <w:p w:rsidR="00583B04" w:rsidRPr="007D5AD4" w:rsidRDefault="00583B04" w:rsidP="00583B04">
      <w:pPr>
        <w:pStyle w:val="len"/>
        <w:spacing w:before="0"/>
        <w:rPr>
          <w:sz w:val="20"/>
          <w:szCs w:val="20"/>
        </w:rPr>
      </w:pPr>
      <w:r w:rsidRPr="007D5AD4">
        <w:rPr>
          <w:sz w:val="20"/>
          <w:szCs w:val="20"/>
        </w:rPr>
        <w:t>6.b člen</w:t>
      </w:r>
    </w:p>
    <w:p w:rsidR="00583B04" w:rsidRPr="007D5AD4" w:rsidRDefault="00583B04" w:rsidP="00583B04">
      <w:pPr>
        <w:pStyle w:val="Odstavek"/>
        <w:spacing w:before="0"/>
        <w:rPr>
          <w:sz w:val="20"/>
          <w:szCs w:val="20"/>
        </w:rPr>
      </w:pPr>
    </w:p>
    <w:p w:rsidR="00583B04" w:rsidRPr="007D5AD4" w:rsidRDefault="00583B04" w:rsidP="00583B04">
      <w:pPr>
        <w:pStyle w:val="Odstavek"/>
        <w:spacing w:before="0"/>
        <w:rPr>
          <w:sz w:val="20"/>
          <w:szCs w:val="20"/>
        </w:rPr>
      </w:pPr>
      <w:r w:rsidRPr="007D5AD4">
        <w:rPr>
          <w:sz w:val="20"/>
          <w:szCs w:val="20"/>
        </w:rPr>
        <w:t>(1) Ministrstvo, pristojno za finance, ugotovi in mestni občini sporoči višino dohodnine iz 6.a člena tega zakona pred predložitvijo državnega proračuna, sprememb državnega proračuna ali rebalansa državnega proračuna.</w:t>
      </w:r>
    </w:p>
    <w:p w:rsidR="00583B04" w:rsidRPr="007D5AD4" w:rsidRDefault="00583B04" w:rsidP="00583B04">
      <w:pPr>
        <w:pStyle w:val="Odstavek"/>
        <w:spacing w:before="0"/>
        <w:rPr>
          <w:sz w:val="20"/>
          <w:szCs w:val="20"/>
        </w:rPr>
      </w:pPr>
      <w:r w:rsidRPr="007D5AD4">
        <w:rPr>
          <w:sz w:val="20"/>
          <w:szCs w:val="20"/>
        </w:rPr>
        <w:t>(2) Vlada z uredbo določi način nakazovanja dohodnine in metodologijo, s katero se vsako četrto leto ugotovi razmerje med dohodnino in ocenjenimi stroški financiranja nalog in programov iz 6.a člena tega zakona.</w:t>
      </w:r>
    </w:p>
    <w:p w:rsidR="00583B04" w:rsidRPr="007D5AD4" w:rsidRDefault="00583B04" w:rsidP="00583B04">
      <w:pPr>
        <w:pStyle w:val="Odstavek"/>
        <w:spacing w:before="0"/>
        <w:rPr>
          <w:sz w:val="20"/>
          <w:szCs w:val="20"/>
        </w:rPr>
      </w:pPr>
    </w:p>
    <w:p w:rsidR="00583B04" w:rsidRPr="007D5AD4" w:rsidRDefault="00583B04" w:rsidP="00583B04">
      <w:pPr>
        <w:pStyle w:val="Odstavek"/>
        <w:spacing w:before="0"/>
        <w:rPr>
          <w:sz w:val="20"/>
          <w:szCs w:val="20"/>
        </w:rPr>
      </w:pPr>
    </w:p>
    <w:p w:rsidR="00583B04" w:rsidRPr="007D5AD4" w:rsidRDefault="00583B04" w:rsidP="00583B04">
      <w:pPr>
        <w:pStyle w:val="pododdelek1"/>
        <w:jc w:val="both"/>
        <w:rPr>
          <w:sz w:val="20"/>
          <w:szCs w:val="20"/>
          <w:lang w:val="x-none"/>
        </w:rPr>
      </w:pPr>
    </w:p>
    <w:p w:rsidR="00583B04" w:rsidRPr="007D5AD4" w:rsidRDefault="00583B04" w:rsidP="00583B04">
      <w:pPr>
        <w:pStyle w:val="Odstavek"/>
        <w:spacing w:before="0"/>
        <w:rPr>
          <w:sz w:val="20"/>
          <w:szCs w:val="20"/>
        </w:rPr>
      </w:pPr>
    </w:p>
    <w:p w:rsidR="00583B04" w:rsidRPr="007D5AD4" w:rsidRDefault="00583B04" w:rsidP="00583B04">
      <w:pPr>
        <w:pStyle w:val="Odstavek"/>
        <w:spacing w:before="0"/>
        <w:rPr>
          <w:sz w:val="20"/>
          <w:szCs w:val="20"/>
        </w:rPr>
      </w:pPr>
    </w:p>
    <w:p w:rsidR="00583B04" w:rsidRPr="007D5AD4" w:rsidRDefault="00583B04" w:rsidP="00583B04">
      <w:pPr>
        <w:pStyle w:val="Odstavek"/>
        <w:spacing w:before="0"/>
        <w:rPr>
          <w:sz w:val="20"/>
          <w:szCs w:val="20"/>
        </w:rPr>
      </w:pPr>
    </w:p>
    <w:p w:rsidR="00583B04" w:rsidRPr="007D5AD4" w:rsidRDefault="00583B04" w:rsidP="00583B04">
      <w:pPr>
        <w:pStyle w:val="Odstavek"/>
        <w:spacing w:before="0"/>
        <w:rPr>
          <w:sz w:val="20"/>
          <w:szCs w:val="20"/>
        </w:rPr>
      </w:pPr>
    </w:p>
    <w:p w:rsidR="00583B04" w:rsidRPr="007D5AD4" w:rsidRDefault="00583B04" w:rsidP="00583B04">
      <w:pPr>
        <w:pStyle w:val="Odstavek"/>
        <w:spacing w:before="0"/>
        <w:rPr>
          <w:sz w:val="20"/>
          <w:szCs w:val="20"/>
        </w:rPr>
      </w:pPr>
    </w:p>
    <w:p w:rsidR="00583B04" w:rsidRPr="007D5AD4" w:rsidRDefault="00583B04" w:rsidP="00583B04">
      <w:pPr>
        <w:pStyle w:val="Odstavek"/>
        <w:spacing w:before="0"/>
        <w:rPr>
          <w:sz w:val="20"/>
          <w:szCs w:val="20"/>
        </w:rPr>
      </w:pPr>
    </w:p>
    <w:p w:rsidR="00583B04" w:rsidRPr="007D5AD4" w:rsidRDefault="00583B04" w:rsidP="00583B04">
      <w:pPr>
        <w:pStyle w:val="Odstavek"/>
        <w:spacing w:before="0"/>
        <w:rPr>
          <w:sz w:val="20"/>
          <w:szCs w:val="20"/>
        </w:rPr>
      </w:pPr>
    </w:p>
    <w:p w:rsidR="00583B04" w:rsidRPr="007D5AD4" w:rsidRDefault="00583B04" w:rsidP="00583B04">
      <w:pPr>
        <w:pStyle w:val="Odstavek"/>
        <w:spacing w:before="0"/>
        <w:rPr>
          <w:sz w:val="20"/>
          <w:szCs w:val="20"/>
        </w:rPr>
      </w:pPr>
    </w:p>
    <w:p w:rsidR="00583B04" w:rsidRPr="007D5AD4" w:rsidRDefault="00583B04" w:rsidP="00583B04">
      <w:pPr>
        <w:pStyle w:val="Odstavek"/>
        <w:spacing w:before="0"/>
        <w:rPr>
          <w:sz w:val="20"/>
          <w:szCs w:val="20"/>
        </w:rPr>
      </w:pPr>
    </w:p>
    <w:p w:rsidR="00583B04" w:rsidRPr="007D5AD4" w:rsidRDefault="00583B04" w:rsidP="00583B04">
      <w:pPr>
        <w:pStyle w:val="Odstavek"/>
        <w:spacing w:before="0"/>
        <w:rPr>
          <w:sz w:val="20"/>
          <w:szCs w:val="20"/>
        </w:rPr>
      </w:pPr>
    </w:p>
    <w:p w:rsidR="00583B04" w:rsidRPr="007D5AD4" w:rsidRDefault="00583B04" w:rsidP="00583B04">
      <w:pPr>
        <w:pStyle w:val="Odstavek"/>
        <w:spacing w:before="0"/>
        <w:rPr>
          <w:sz w:val="20"/>
          <w:szCs w:val="20"/>
        </w:rPr>
      </w:pPr>
    </w:p>
    <w:p w:rsidR="00583B04" w:rsidRPr="007D5AD4" w:rsidRDefault="00583B04" w:rsidP="00583B04">
      <w:pPr>
        <w:pStyle w:val="Odstavek"/>
        <w:spacing w:before="0"/>
        <w:rPr>
          <w:sz w:val="20"/>
          <w:szCs w:val="20"/>
        </w:rPr>
      </w:pPr>
    </w:p>
    <w:p w:rsidR="00583B04" w:rsidRPr="007D5AD4" w:rsidRDefault="00583B04" w:rsidP="00583B04">
      <w:pPr>
        <w:ind w:left="7080"/>
        <w:rPr>
          <w:rFonts w:cs="Arial"/>
          <w:szCs w:val="20"/>
        </w:rPr>
      </w:pPr>
    </w:p>
    <w:p w:rsidR="00583B04" w:rsidRPr="007D5AD4" w:rsidRDefault="00583B04" w:rsidP="00583B04">
      <w:pPr>
        <w:ind w:left="7080"/>
        <w:rPr>
          <w:rFonts w:cs="Arial"/>
          <w:szCs w:val="20"/>
        </w:rPr>
      </w:pPr>
    </w:p>
    <w:p w:rsidR="00583B04" w:rsidRPr="007D5AD4" w:rsidRDefault="00583B04" w:rsidP="00583B04">
      <w:pPr>
        <w:ind w:left="7080"/>
        <w:rPr>
          <w:rFonts w:cs="Arial"/>
          <w:szCs w:val="20"/>
        </w:rPr>
      </w:pPr>
    </w:p>
    <w:p w:rsidR="00583B04" w:rsidRPr="007D5AD4" w:rsidRDefault="00583B04" w:rsidP="00583B04">
      <w:pPr>
        <w:ind w:left="7080"/>
        <w:rPr>
          <w:rFonts w:cs="Arial"/>
          <w:szCs w:val="20"/>
        </w:rPr>
      </w:pPr>
    </w:p>
    <w:p w:rsidR="00CC6EDA" w:rsidRPr="00ED018D" w:rsidRDefault="00CC6EDA">
      <w:pPr>
        <w:rPr>
          <w:rFonts w:cs="Arial"/>
          <w:szCs w:val="20"/>
        </w:rPr>
      </w:pPr>
    </w:p>
    <w:sectPr w:rsidR="00CC6EDA" w:rsidRPr="00ED018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215CD8"/>
    <w:multiLevelType w:val="hybridMultilevel"/>
    <w:tmpl w:val="5906B58E"/>
    <w:lvl w:ilvl="0" w:tplc="0424000F">
      <w:start w:val="1"/>
      <w:numFmt w:val="decimal"/>
      <w:lvlText w:val="%1."/>
      <w:lvlJc w:val="left"/>
      <w:pPr>
        <w:tabs>
          <w:tab w:val="num" w:pos="360"/>
        </w:tabs>
        <w:ind w:left="360" w:hanging="360"/>
      </w:pPr>
    </w:lvl>
    <w:lvl w:ilvl="1" w:tplc="04240019">
      <w:start w:val="1"/>
      <w:numFmt w:val="lowerLetter"/>
      <w:lvlText w:val="%2."/>
      <w:lvlJc w:val="left"/>
      <w:pPr>
        <w:tabs>
          <w:tab w:val="num" w:pos="1080"/>
        </w:tabs>
        <w:ind w:left="1080" w:hanging="360"/>
      </w:pPr>
    </w:lvl>
    <w:lvl w:ilvl="2" w:tplc="0424001B">
      <w:start w:val="1"/>
      <w:numFmt w:val="lowerRoman"/>
      <w:lvlText w:val="%3."/>
      <w:lvlJc w:val="right"/>
      <w:pPr>
        <w:tabs>
          <w:tab w:val="num" w:pos="1800"/>
        </w:tabs>
        <w:ind w:left="1800" w:hanging="180"/>
      </w:pPr>
    </w:lvl>
    <w:lvl w:ilvl="3" w:tplc="0424000F">
      <w:start w:val="1"/>
      <w:numFmt w:val="decimal"/>
      <w:lvlText w:val="%4."/>
      <w:lvlJc w:val="left"/>
      <w:pPr>
        <w:tabs>
          <w:tab w:val="num" w:pos="2520"/>
        </w:tabs>
        <w:ind w:left="2520" w:hanging="360"/>
      </w:pPr>
    </w:lvl>
    <w:lvl w:ilvl="4" w:tplc="04240019">
      <w:start w:val="1"/>
      <w:numFmt w:val="lowerLetter"/>
      <w:lvlText w:val="%5."/>
      <w:lvlJc w:val="left"/>
      <w:pPr>
        <w:tabs>
          <w:tab w:val="num" w:pos="3240"/>
        </w:tabs>
        <w:ind w:left="3240" w:hanging="360"/>
      </w:pPr>
    </w:lvl>
    <w:lvl w:ilvl="5" w:tplc="0424001B">
      <w:start w:val="1"/>
      <w:numFmt w:val="lowerRoman"/>
      <w:lvlText w:val="%6."/>
      <w:lvlJc w:val="right"/>
      <w:pPr>
        <w:tabs>
          <w:tab w:val="num" w:pos="3960"/>
        </w:tabs>
        <w:ind w:left="3960" w:hanging="180"/>
      </w:pPr>
    </w:lvl>
    <w:lvl w:ilvl="6" w:tplc="0424000F">
      <w:start w:val="1"/>
      <w:numFmt w:val="decimal"/>
      <w:lvlText w:val="%7."/>
      <w:lvlJc w:val="left"/>
      <w:pPr>
        <w:tabs>
          <w:tab w:val="num" w:pos="4680"/>
        </w:tabs>
        <w:ind w:left="4680" w:hanging="360"/>
      </w:pPr>
    </w:lvl>
    <w:lvl w:ilvl="7" w:tplc="04240019">
      <w:start w:val="1"/>
      <w:numFmt w:val="lowerLetter"/>
      <w:lvlText w:val="%8."/>
      <w:lvlJc w:val="left"/>
      <w:pPr>
        <w:tabs>
          <w:tab w:val="num" w:pos="5400"/>
        </w:tabs>
        <w:ind w:left="5400" w:hanging="360"/>
      </w:pPr>
    </w:lvl>
    <w:lvl w:ilvl="8" w:tplc="0424001B">
      <w:start w:val="1"/>
      <w:numFmt w:val="lowerRoman"/>
      <w:lvlText w:val="%9."/>
      <w:lvlJc w:val="right"/>
      <w:pPr>
        <w:tabs>
          <w:tab w:val="num" w:pos="6120"/>
        </w:tabs>
        <w:ind w:left="6120" w:hanging="180"/>
      </w:pPr>
    </w:lvl>
  </w:abstractNum>
  <w:abstractNum w:abstractNumId="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start w:val="1"/>
      <w:numFmt w:val="bullet"/>
      <w:lvlText w:val="o"/>
      <w:lvlJc w:val="left"/>
      <w:pPr>
        <w:ind w:left="2148" w:hanging="360"/>
      </w:pPr>
      <w:rPr>
        <w:rFonts w:ascii="Courier New" w:hAnsi="Courier New" w:cs="Courier New" w:hint="default"/>
      </w:rPr>
    </w:lvl>
    <w:lvl w:ilvl="2" w:tplc="04240005">
      <w:start w:val="1"/>
      <w:numFmt w:val="bullet"/>
      <w:lvlText w:val=""/>
      <w:lvlJc w:val="left"/>
      <w:pPr>
        <w:ind w:left="2868" w:hanging="360"/>
      </w:pPr>
      <w:rPr>
        <w:rFonts w:ascii="Wingdings" w:hAnsi="Wingdings" w:hint="default"/>
      </w:rPr>
    </w:lvl>
    <w:lvl w:ilvl="3" w:tplc="04240001">
      <w:start w:val="1"/>
      <w:numFmt w:val="bullet"/>
      <w:lvlText w:val=""/>
      <w:lvlJc w:val="left"/>
      <w:pPr>
        <w:ind w:left="3588" w:hanging="360"/>
      </w:pPr>
      <w:rPr>
        <w:rFonts w:ascii="Symbol" w:hAnsi="Symbol" w:hint="default"/>
      </w:rPr>
    </w:lvl>
    <w:lvl w:ilvl="4" w:tplc="04240003">
      <w:start w:val="1"/>
      <w:numFmt w:val="bullet"/>
      <w:lvlText w:val="o"/>
      <w:lvlJc w:val="left"/>
      <w:pPr>
        <w:ind w:left="4308" w:hanging="360"/>
      </w:pPr>
      <w:rPr>
        <w:rFonts w:ascii="Courier New" w:hAnsi="Courier New" w:cs="Courier New" w:hint="default"/>
      </w:rPr>
    </w:lvl>
    <w:lvl w:ilvl="5" w:tplc="04240005">
      <w:start w:val="1"/>
      <w:numFmt w:val="bullet"/>
      <w:lvlText w:val=""/>
      <w:lvlJc w:val="left"/>
      <w:pPr>
        <w:ind w:left="5028" w:hanging="360"/>
      </w:pPr>
      <w:rPr>
        <w:rFonts w:ascii="Wingdings" w:hAnsi="Wingdings" w:hint="default"/>
      </w:rPr>
    </w:lvl>
    <w:lvl w:ilvl="6" w:tplc="04240001">
      <w:start w:val="1"/>
      <w:numFmt w:val="bullet"/>
      <w:lvlText w:val=""/>
      <w:lvlJc w:val="left"/>
      <w:pPr>
        <w:ind w:left="5748" w:hanging="360"/>
      </w:pPr>
      <w:rPr>
        <w:rFonts w:ascii="Symbol" w:hAnsi="Symbol" w:hint="default"/>
      </w:rPr>
    </w:lvl>
    <w:lvl w:ilvl="7" w:tplc="04240003">
      <w:start w:val="1"/>
      <w:numFmt w:val="bullet"/>
      <w:lvlText w:val="o"/>
      <w:lvlJc w:val="left"/>
      <w:pPr>
        <w:ind w:left="6468" w:hanging="360"/>
      </w:pPr>
      <w:rPr>
        <w:rFonts w:ascii="Courier New" w:hAnsi="Courier New" w:cs="Courier New" w:hint="default"/>
      </w:rPr>
    </w:lvl>
    <w:lvl w:ilvl="8" w:tplc="04240005">
      <w:start w:val="1"/>
      <w:numFmt w:val="bullet"/>
      <w:lvlText w:val=""/>
      <w:lvlJc w:val="left"/>
      <w:pPr>
        <w:ind w:left="7188" w:hanging="360"/>
      </w:pPr>
      <w:rPr>
        <w:rFonts w:ascii="Wingdings" w:hAnsi="Wingdings" w:hint="default"/>
      </w:rPr>
    </w:lvl>
  </w:abstractNum>
  <w:abstractNum w:abstractNumId="2" w15:restartNumberingAfterBreak="0">
    <w:nsid w:val="3D40755B"/>
    <w:multiLevelType w:val="hybridMultilevel"/>
    <w:tmpl w:val="D0AE2F28"/>
    <w:lvl w:ilvl="0" w:tplc="78A83ABC">
      <w:start w:val="1"/>
      <w:numFmt w:val="bullet"/>
      <w:lvlText w:val="–"/>
      <w:lvlJc w:val="left"/>
      <w:pPr>
        <w:tabs>
          <w:tab w:val="num" w:pos="502"/>
        </w:tabs>
        <w:ind w:left="502" w:hanging="360"/>
      </w:pPr>
      <w:rPr>
        <w:rFonts w:ascii="Times New Roman" w:hAnsi="Times New Roman" w:cs="Times New Roman" w:hint="default"/>
      </w:rPr>
    </w:lvl>
    <w:lvl w:ilvl="1" w:tplc="04240003">
      <w:start w:val="1"/>
      <w:numFmt w:val="bullet"/>
      <w:lvlText w:val="o"/>
      <w:lvlJc w:val="left"/>
      <w:pPr>
        <w:tabs>
          <w:tab w:val="num" w:pos="1222"/>
        </w:tabs>
        <w:ind w:left="1222" w:hanging="360"/>
      </w:pPr>
      <w:rPr>
        <w:rFonts w:ascii="Courier New" w:hAnsi="Courier New" w:cs="Courier New" w:hint="default"/>
      </w:rPr>
    </w:lvl>
    <w:lvl w:ilvl="2" w:tplc="04240005">
      <w:start w:val="1"/>
      <w:numFmt w:val="bullet"/>
      <w:lvlText w:val=""/>
      <w:lvlJc w:val="left"/>
      <w:pPr>
        <w:tabs>
          <w:tab w:val="num" w:pos="1942"/>
        </w:tabs>
        <w:ind w:left="1942" w:hanging="360"/>
      </w:pPr>
      <w:rPr>
        <w:rFonts w:ascii="Wingdings" w:hAnsi="Wingdings" w:hint="default"/>
      </w:rPr>
    </w:lvl>
    <w:lvl w:ilvl="3" w:tplc="04240001">
      <w:start w:val="1"/>
      <w:numFmt w:val="bullet"/>
      <w:lvlText w:val=""/>
      <w:lvlJc w:val="left"/>
      <w:pPr>
        <w:tabs>
          <w:tab w:val="num" w:pos="2662"/>
        </w:tabs>
        <w:ind w:left="2662" w:hanging="360"/>
      </w:pPr>
      <w:rPr>
        <w:rFonts w:ascii="Symbol" w:hAnsi="Symbol" w:hint="default"/>
      </w:rPr>
    </w:lvl>
    <w:lvl w:ilvl="4" w:tplc="04240003">
      <w:start w:val="1"/>
      <w:numFmt w:val="bullet"/>
      <w:lvlText w:val="o"/>
      <w:lvlJc w:val="left"/>
      <w:pPr>
        <w:tabs>
          <w:tab w:val="num" w:pos="3382"/>
        </w:tabs>
        <w:ind w:left="3382" w:hanging="360"/>
      </w:pPr>
      <w:rPr>
        <w:rFonts w:ascii="Courier New" w:hAnsi="Courier New" w:cs="Courier New" w:hint="default"/>
      </w:rPr>
    </w:lvl>
    <w:lvl w:ilvl="5" w:tplc="04240005">
      <w:start w:val="1"/>
      <w:numFmt w:val="bullet"/>
      <w:lvlText w:val=""/>
      <w:lvlJc w:val="left"/>
      <w:pPr>
        <w:tabs>
          <w:tab w:val="num" w:pos="4102"/>
        </w:tabs>
        <w:ind w:left="4102" w:hanging="360"/>
      </w:pPr>
      <w:rPr>
        <w:rFonts w:ascii="Wingdings" w:hAnsi="Wingdings" w:hint="default"/>
      </w:rPr>
    </w:lvl>
    <w:lvl w:ilvl="6" w:tplc="04240001">
      <w:start w:val="1"/>
      <w:numFmt w:val="bullet"/>
      <w:lvlText w:val=""/>
      <w:lvlJc w:val="left"/>
      <w:pPr>
        <w:tabs>
          <w:tab w:val="num" w:pos="4822"/>
        </w:tabs>
        <w:ind w:left="4822" w:hanging="360"/>
      </w:pPr>
      <w:rPr>
        <w:rFonts w:ascii="Symbol" w:hAnsi="Symbol" w:hint="default"/>
      </w:rPr>
    </w:lvl>
    <w:lvl w:ilvl="7" w:tplc="04240003">
      <w:start w:val="1"/>
      <w:numFmt w:val="bullet"/>
      <w:lvlText w:val="o"/>
      <w:lvlJc w:val="left"/>
      <w:pPr>
        <w:tabs>
          <w:tab w:val="num" w:pos="5542"/>
        </w:tabs>
        <w:ind w:left="5542" w:hanging="360"/>
      </w:pPr>
      <w:rPr>
        <w:rFonts w:ascii="Courier New" w:hAnsi="Courier New" w:cs="Courier New" w:hint="default"/>
      </w:rPr>
    </w:lvl>
    <w:lvl w:ilvl="8" w:tplc="04240005">
      <w:start w:val="1"/>
      <w:numFmt w:val="bullet"/>
      <w:lvlText w:val=""/>
      <w:lvlJc w:val="left"/>
      <w:pPr>
        <w:tabs>
          <w:tab w:val="num" w:pos="6262"/>
        </w:tabs>
        <w:ind w:left="6262" w:hanging="360"/>
      </w:pPr>
      <w:rPr>
        <w:rFonts w:ascii="Wingdings" w:hAnsi="Wingdings" w:hint="default"/>
      </w:rPr>
    </w:lvl>
  </w:abstractNum>
  <w:abstractNum w:abstractNumId="3" w15:restartNumberingAfterBreak="0">
    <w:nsid w:val="50EE75FB"/>
    <w:multiLevelType w:val="hybridMultilevel"/>
    <w:tmpl w:val="F942F738"/>
    <w:lvl w:ilvl="0" w:tplc="78A83ABC">
      <w:start w:val="1"/>
      <w:numFmt w:val="bullet"/>
      <w:lvlText w:val="–"/>
      <w:lvlJc w:val="left"/>
      <w:pPr>
        <w:tabs>
          <w:tab w:val="num" w:pos="502"/>
        </w:tabs>
        <w:ind w:left="502" w:hanging="360"/>
      </w:pPr>
      <w:rPr>
        <w:rFonts w:ascii="Times New Roman" w:hAnsi="Times New Roman" w:cs="Times New Roman" w:hint="default"/>
      </w:rPr>
    </w:lvl>
    <w:lvl w:ilvl="1" w:tplc="04240003">
      <w:start w:val="1"/>
      <w:numFmt w:val="bullet"/>
      <w:lvlText w:val="o"/>
      <w:lvlJc w:val="left"/>
      <w:pPr>
        <w:tabs>
          <w:tab w:val="num" w:pos="1222"/>
        </w:tabs>
        <w:ind w:left="1222" w:hanging="360"/>
      </w:pPr>
      <w:rPr>
        <w:rFonts w:ascii="Courier New" w:hAnsi="Courier New" w:cs="Courier New" w:hint="default"/>
      </w:rPr>
    </w:lvl>
    <w:lvl w:ilvl="2" w:tplc="04240005">
      <w:start w:val="1"/>
      <w:numFmt w:val="bullet"/>
      <w:lvlText w:val=""/>
      <w:lvlJc w:val="left"/>
      <w:pPr>
        <w:tabs>
          <w:tab w:val="num" w:pos="1942"/>
        </w:tabs>
        <w:ind w:left="1942" w:hanging="360"/>
      </w:pPr>
      <w:rPr>
        <w:rFonts w:ascii="Wingdings" w:hAnsi="Wingdings" w:hint="default"/>
      </w:rPr>
    </w:lvl>
    <w:lvl w:ilvl="3" w:tplc="04240001">
      <w:start w:val="1"/>
      <w:numFmt w:val="bullet"/>
      <w:lvlText w:val=""/>
      <w:lvlJc w:val="left"/>
      <w:pPr>
        <w:tabs>
          <w:tab w:val="num" w:pos="2662"/>
        </w:tabs>
        <w:ind w:left="2662" w:hanging="360"/>
      </w:pPr>
      <w:rPr>
        <w:rFonts w:ascii="Symbol" w:hAnsi="Symbol" w:hint="default"/>
      </w:rPr>
    </w:lvl>
    <w:lvl w:ilvl="4" w:tplc="04240003">
      <w:start w:val="1"/>
      <w:numFmt w:val="bullet"/>
      <w:lvlText w:val="o"/>
      <w:lvlJc w:val="left"/>
      <w:pPr>
        <w:tabs>
          <w:tab w:val="num" w:pos="3382"/>
        </w:tabs>
        <w:ind w:left="3382" w:hanging="360"/>
      </w:pPr>
      <w:rPr>
        <w:rFonts w:ascii="Courier New" w:hAnsi="Courier New" w:cs="Courier New" w:hint="default"/>
      </w:rPr>
    </w:lvl>
    <w:lvl w:ilvl="5" w:tplc="04240005">
      <w:start w:val="1"/>
      <w:numFmt w:val="bullet"/>
      <w:lvlText w:val=""/>
      <w:lvlJc w:val="left"/>
      <w:pPr>
        <w:tabs>
          <w:tab w:val="num" w:pos="4102"/>
        </w:tabs>
        <w:ind w:left="4102" w:hanging="360"/>
      </w:pPr>
      <w:rPr>
        <w:rFonts w:ascii="Wingdings" w:hAnsi="Wingdings" w:hint="default"/>
      </w:rPr>
    </w:lvl>
    <w:lvl w:ilvl="6" w:tplc="04240001">
      <w:start w:val="1"/>
      <w:numFmt w:val="bullet"/>
      <w:lvlText w:val=""/>
      <w:lvlJc w:val="left"/>
      <w:pPr>
        <w:tabs>
          <w:tab w:val="num" w:pos="4822"/>
        </w:tabs>
        <w:ind w:left="4822" w:hanging="360"/>
      </w:pPr>
      <w:rPr>
        <w:rFonts w:ascii="Symbol" w:hAnsi="Symbol" w:hint="default"/>
      </w:rPr>
    </w:lvl>
    <w:lvl w:ilvl="7" w:tplc="04240003">
      <w:start w:val="1"/>
      <w:numFmt w:val="bullet"/>
      <w:lvlText w:val="o"/>
      <w:lvlJc w:val="left"/>
      <w:pPr>
        <w:tabs>
          <w:tab w:val="num" w:pos="5542"/>
        </w:tabs>
        <w:ind w:left="5542" w:hanging="360"/>
      </w:pPr>
      <w:rPr>
        <w:rFonts w:ascii="Courier New" w:hAnsi="Courier New" w:cs="Courier New" w:hint="default"/>
      </w:rPr>
    </w:lvl>
    <w:lvl w:ilvl="8" w:tplc="04240005">
      <w:start w:val="1"/>
      <w:numFmt w:val="bullet"/>
      <w:lvlText w:val=""/>
      <w:lvlJc w:val="left"/>
      <w:pPr>
        <w:tabs>
          <w:tab w:val="num" w:pos="6262"/>
        </w:tabs>
        <w:ind w:left="6262" w:hanging="360"/>
      </w:pPr>
      <w:rPr>
        <w:rFonts w:ascii="Wingdings" w:hAnsi="Wingdings" w:hint="default"/>
      </w:rPr>
    </w:lvl>
  </w:abstractNum>
  <w:abstractNum w:abstractNumId="4" w15:restartNumberingAfterBreak="0">
    <w:nsid w:val="519B775F"/>
    <w:multiLevelType w:val="hybridMultilevel"/>
    <w:tmpl w:val="B32AE346"/>
    <w:lvl w:ilvl="0" w:tplc="78A83ABC">
      <w:start w:val="1"/>
      <w:numFmt w:val="bullet"/>
      <w:lvlText w:val="–"/>
      <w:lvlJc w:val="left"/>
      <w:pPr>
        <w:tabs>
          <w:tab w:val="num" w:pos="502"/>
        </w:tabs>
        <w:ind w:left="502" w:hanging="360"/>
      </w:pPr>
      <w:rPr>
        <w:rFonts w:ascii="Times New Roman" w:hAnsi="Times New Roman" w:cs="Times New Roman" w:hint="default"/>
      </w:rPr>
    </w:lvl>
    <w:lvl w:ilvl="1" w:tplc="04240003">
      <w:start w:val="1"/>
      <w:numFmt w:val="bullet"/>
      <w:lvlText w:val="o"/>
      <w:lvlJc w:val="left"/>
      <w:pPr>
        <w:tabs>
          <w:tab w:val="num" w:pos="1222"/>
        </w:tabs>
        <w:ind w:left="1222" w:hanging="360"/>
      </w:pPr>
      <w:rPr>
        <w:rFonts w:ascii="Courier New" w:hAnsi="Courier New" w:cs="Courier New" w:hint="default"/>
      </w:rPr>
    </w:lvl>
    <w:lvl w:ilvl="2" w:tplc="04240005">
      <w:start w:val="1"/>
      <w:numFmt w:val="bullet"/>
      <w:lvlText w:val=""/>
      <w:lvlJc w:val="left"/>
      <w:pPr>
        <w:tabs>
          <w:tab w:val="num" w:pos="1942"/>
        </w:tabs>
        <w:ind w:left="1942" w:hanging="360"/>
      </w:pPr>
      <w:rPr>
        <w:rFonts w:ascii="Wingdings" w:hAnsi="Wingdings" w:hint="default"/>
      </w:rPr>
    </w:lvl>
    <w:lvl w:ilvl="3" w:tplc="04240001">
      <w:start w:val="1"/>
      <w:numFmt w:val="bullet"/>
      <w:lvlText w:val=""/>
      <w:lvlJc w:val="left"/>
      <w:pPr>
        <w:tabs>
          <w:tab w:val="num" w:pos="2662"/>
        </w:tabs>
        <w:ind w:left="2662" w:hanging="360"/>
      </w:pPr>
      <w:rPr>
        <w:rFonts w:ascii="Symbol" w:hAnsi="Symbol" w:hint="default"/>
      </w:rPr>
    </w:lvl>
    <w:lvl w:ilvl="4" w:tplc="04240003">
      <w:start w:val="1"/>
      <w:numFmt w:val="bullet"/>
      <w:lvlText w:val="o"/>
      <w:lvlJc w:val="left"/>
      <w:pPr>
        <w:tabs>
          <w:tab w:val="num" w:pos="3382"/>
        </w:tabs>
        <w:ind w:left="3382" w:hanging="360"/>
      </w:pPr>
      <w:rPr>
        <w:rFonts w:ascii="Courier New" w:hAnsi="Courier New" w:cs="Courier New" w:hint="default"/>
      </w:rPr>
    </w:lvl>
    <w:lvl w:ilvl="5" w:tplc="04240005">
      <w:start w:val="1"/>
      <w:numFmt w:val="bullet"/>
      <w:lvlText w:val=""/>
      <w:lvlJc w:val="left"/>
      <w:pPr>
        <w:tabs>
          <w:tab w:val="num" w:pos="4102"/>
        </w:tabs>
        <w:ind w:left="4102" w:hanging="360"/>
      </w:pPr>
      <w:rPr>
        <w:rFonts w:ascii="Wingdings" w:hAnsi="Wingdings" w:hint="default"/>
      </w:rPr>
    </w:lvl>
    <w:lvl w:ilvl="6" w:tplc="04240001">
      <w:start w:val="1"/>
      <w:numFmt w:val="bullet"/>
      <w:lvlText w:val=""/>
      <w:lvlJc w:val="left"/>
      <w:pPr>
        <w:tabs>
          <w:tab w:val="num" w:pos="4822"/>
        </w:tabs>
        <w:ind w:left="4822" w:hanging="360"/>
      </w:pPr>
      <w:rPr>
        <w:rFonts w:ascii="Symbol" w:hAnsi="Symbol" w:hint="default"/>
      </w:rPr>
    </w:lvl>
    <w:lvl w:ilvl="7" w:tplc="04240003">
      <w:start w:val="1"/>
      <w:numFmt w:val="bullet"/>
      <w:lvlText w:val="o"/>
      <w:lvlJc w:val="left"/>
      <w:pPr>
        <w:tabs>
          <w:tab w:val="num" w:pos="5542"/>
        </w:tabs>
        <w:ind w:left="5542" w:hanging="360"/>
      </w:pPr>
      <w:rPr>
        <w:rFonts w:ascii="Courier New" w:hAnsi="Courier New" w:cs="Courier New" w:hint="default"/>
      </w:rPr>
    </w:lvl>
    <w:lvl w:ilvl="8" w:tplc="04240005">
      <w:start w:val="1"/>
      <w:numFmt w:val="bullet"/>
      <w:lvlText w:val=""/>
      <w:lvlJc w:val="left"/>
      <w:pPr>
        <w:tabs>
          <w:tab w:val="num" w:pos="6262"/>
        </w:tabs>
        <w:ind w:left="6262" w:hanging="360"/>
      </w:pPr>
      <w:rPr>
        <w:rFonts w:ascii="Wingdings" w:hAnsi="Wingdings" w:hint="default"/>
      </w:rPr>
    </w:lvl>
  </w:abstractNum>
  <w:abstractNum w:abstractNumId="5" w15:restartNumberingAfterBreak="0">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75EF3524"/>
    <w:multiLevelType w:val="hybridMultilevel"/>
    <w:tmpl w:val="191EF732"/>
    <w:lvl w:ilvl="0" w:tplc="76AC1A70">
      <w:start w:val="1"/>
      <w:numFmt w:val="lowerLetter"/>
      <w:lvlText w:val="%1)"/>
      <w:lvlJc w:val="left"/>
      <w:pPr>
        <w:tabs>
          <w:tab w:val="num" w:pos="720"/>
        </w:tabs>
        <w:ind w:left="720" w:hanging="360"/>
      </w:pPr>
    </w:lvl>
    <w:lvl w:ilvl="1" w:tplc="E33AA7CE">
      <w:start w:val="1"/>
      <w:numFmt w:val="lowerLetter"/>
      <w:lvlText w:val="%2."/>
      <w:lvlJc w:val="left"/>
      <w:pPr>
        <w:tabs>
          <w:tab w:val="num" w:pos="1440"/>
        </w:tabs>
        <w:ind w:left="1440" w:hanging="360"/>
      </w:pPr>
    </w:lvl>
    <w:lvl w:ilvl="2" w:tplc="04240005">
      <w:start w:val="1"/>
      <w:numFmt w:val="lowerRoman"/>
      <w:lvlText w:val="%3."/>
      <w:lvlJc w:val="right"/>
      <w:pPr>
        <w:tabs>
          <w:tab w:val="num" w:pos="2160"/>
        </w:tabs>
        <w:ind w:left="2160" w:hanging="180"/>
      </w:pPr>
    </w:lvl>
    <w:lvl w:ilvl="3" w:tplc="04240001">
      <w:start w:val="1"/>
      <w:numFmt w:val="decimal"/>
      <w:lvlText w:val="%4."/>
      <w:lvlJc w:val="left"/>
      <w:pPr>
        <w:tabs>
          <w:tab w:val="num" w:pos="2880"/>
        </w:tabs>
        <w:ind w:left="2880" w:hanging="360"/>
      </w:pPr>
    </w:lvl>
    <w:lvl w:ilvl="4" w:tplc="04240003">
      <w:start w:val="1"/>
      <w:numFmt w:val="lowerLetter"/>
      <w:lvlText w:val="%5."/>
      <w:lvlJc w:val="left"/>
      <w:pPr>
        <w:tabs>
          <w:tab w:val="num" w:pos="3600"/>
        </w:tabs>
        <w:ind w:left="3600" w:hanging="360"/>
      </w:pPr>
    </w:lvl>
    <w:lvl w:ilvl="5" w:tplc="04240005">
      <w:start w:val="1"/>
      <w:numFmt w:val="lowerRoman"/>
      <w:lvlText w:val="%6."/>
      <w:lvlJc w:val="right"/>
      <w:pPr>
        <w:tabs>
          <w:tab w:val="num" w:pos="4320"/>
        </w:tabs>
        <w:ind w:left="4320" w:hanging="180"/>
      </w:pPr>
    </w:lvl>
    <w:lvl w:ilvl="6" w:tplc="04240001">
      <w:start w:val="1"/>
      <w:numFmt w:val="decimal"/>
      <w:lvlText w:val="%7."/>
      <w:lvlJc w:val="left"/>
      <w:pPr>
        <w:tabs>
          <w:tab w:val="num" w:pos="5040"/>
        </w:tabs>
        <w:ind w:left="5040" w:hanging="360"/>
      </w:pPr>
    </w:lvl>
    <w:lvl w:ilvl="7" w:tplc="04240003">
      <w:start w:val="1"/>
      <w:numFmt w:val="lowerLetter"/>
      <w:lvlText w:val="%8."/>
      <w:lvlJc w:val="left"/>
      <w:pPr>
        <w:tabs>
          <w:tab w:val="num" w:pos="5760"/>
        </w:tabs>
        <w:ind w:left="5760" w:hanging="360"/>
      </w:pPr>
    </w:lvl>
    <w:lvl w:ilvl="8" w:tplc="04240005">
      <w:start w:val="1"/>
      <w:numFmt w:val="lowerRoman"/>
      <w:lvlText w:val="%9."/>
      <w:lvlJc w:val="right"/>
      <w:pPr>
        <w:tabs>
          <w:tab w:val="num" w:pos="6480"/>
        </w:tabs>
        <w:ind w:left="6480" w:hanging="180"/>
      </w:pPr>
    </w:lvl>
  </w:abstractNum>
  <w:num w:numId="1">
    <w:abstractNumId w:val="1"/>
  </w:num>
  <w:num w:numId="2">
    <w:abstractNumId w:val="5"/>
  </w:num>
  <w:num w:numId="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 w:numId="5">
    <w:abstractNumId w:val="3"/>
  </w:num>
  <w:num w:numId="6">
    <w:abstractNumId w:val="4"/>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3B04"/>
    <w:rsid w:val="0032339B"/>
    <w:rsid w:val="004B491D"/>
    <w:rsid w:val="00523D48"/>
    <w:rsid w:val="00546263"/>
    <w:rsid w:val="00583B04"/>
    <w:rsid w:val="005E6012"/>
    <w:rsid w:val="00756A9D"/>
    <w:rsid w:val="007D5796"/>
    <w:rsid w:val="007D5AD4"/>
    <w:rsid w:val="00A93674"/>
    <w:rsid w:val="00AA0FA8"/>
    <w:rsid w:val="00B051D1"/>
    <w:rsid w:val="00C14FF0"/>
    <w:rsid w:val="00C278E6"/>
    <w:rsid w:val="00C94FFD"/>
    <w:rsid w:val="00CC6EDA"/>
    <w:rsid w:val="00D63555"/>
    <w:rsid w:val="00ED018D"/>
    <w:rsid w:val="00F621E2"/>
    <w:rsid w:val="00F94E4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79A67C"/>
  <w15:docId w15:val="{0E6E0BEB-3951-4BA5-BDD0-31C63B651E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avaden">
    <w:name w:val="Normal"/>
    <w:qFormat/>
    <w:rsid w:val="00583B0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2">
    <w:name w:val="Body Text 2"/>
    <w:basedOn w:val="Navaden"/>
    <w:link w:val="Telobesedila2Znak"/>
    <w:semiHidden/>
    <w:unhideWhenUsed/>
    <w:rsid w:val="00583B04"/>
    <w:pPr>
      <w:spacing w:after="120" w:line="480" w:lineRule="auto"/>
    </w:pPr>
    <w:rPr>
      <w:rFonts w:ascii="Times New Roman" w:hAnsi="Times New Roman"/>
      <w:sz w:val="24"/>
      <w:szCs w:val="20"/>
      <w:lang w:eastAsia="en-GB"/>
    </w:rPr>
  </w:style>
  <w:style w:type="character" w:customStyle="1" w:styleId="Telobesedila2Znak">
    <w:name w:val="Telo besedila 2 Znak"/>
    <w:basedOn w:val="Privzetapisavaodstavka"/>
    <w:link w:val="Telobesedila2"/>
    <w:semiHidden/>
    <w:rsid w:val="00583B04"/>
    <w:rPr>
      <w:rFonts w:ascii="Times New Roman" w:eastAsia="Times New Roman" w:hAnsi="Times New Roman" w:cs="Times New Roman"/>
      <w:sz w:val="24"/>
      <w:szCs w:val="20"/>
      <w:lang w:eastAsia="en-GB"/>
    </w:rPr>
  </w:style>
  <w:style w:type="paragraph" w:styleId="Telobesedila3">
    <w:name w:val="Body Text 3"/>
    <w:basedOn w:val="Navaden"/>
    <w:link w:val="Telobesedila3Znak"/>
    <w:semiHidden/>
    <w:unhideWhenUsed/>
    <w:rsid w:val="00583B04"/>
    <w:pPr>
      <w:spacing w:after="120" w:line="240" w:lineRule="auto"/>
    </w:pPr>
    <w:rPr>
      <w:rFonts w:ascii="Times New Roman" w:hAnsi="Times New Roman"/>
      <w:sz w:val="16"/>
      <w:szCs w:val="16"/>
      <w:lang w:eastAsia="sl-SI"/>
    </w:rPr>
  </w:style>
  <w:style w:type="character" w:customStyle="1" w:styleId="Telobesedila3Znak">
    <w:name w:val="Telo besedila 3 Znak"/>
    <w:basedOn w:val="Privzetapisavaodstavka"/>
    <w:link w:val="Telobesedila3"/>
    <w:semiHidden/>
    <w:rsid w:val="00583B04"/>
    <w:rPr>
      <w:rFonts w:ascii="Times New Roman" w:eastAsia="Times New Roman" w:hAnsi="Times New Roman" w:cs="Times New Roman"/>
      <w:sz w:val="16"/>
      <w:szCs w:val="16"/>
      <w:lang w:eastAsia="sl-SI"/>
    </w:rPr>
  </w:style>
  <w:style w:type="character" w:customStyle="1" w:styleId="VrstapredpisaZnak">
    <w:name w:val="Vrsta predpisa Znak"/>
    <w:link w:val="Vrstapredpisa"/>
    <w:locked/>
    <w:rsid w:val="00583B04"/>
    <w:rPr>
      <w:rFonts w:ascii="Arial" w:hAnsi="Arial" w:cs="Arial"/>
      <w:b/>
      <w:bCs/>
      <w:color w:val="000000"/>
      <w:spacing w:val="40"/>
    </w:rPr>
  </w:style>
  <w:style w:type="paragraph" w:customStyle="1" w:styleId="Vrstapredpisa">
    <w:name w:val="Vrsta predpisa"/>
    <w:basedOn w:val="Navaden"/>
    <w:link w:val="VrstapredpisaZnak"/>
    <w:qFormat/>
    <w:rsid w:val="00583B04"/>
    <w:pPr>
      <w:suppressAutoHyphens/>
      <w:overflowPunct w:val="0"/>
      <w:autoSpaceDE w:val="0"/>
      <w:autoSpaceDN w:val="0"/>
      <w:adjustRightInd w:val="0"/>
      <w:spacing w:before="360" w:line="220" w:lineRule="exact"/>
      <w:jc w:val="center"/>
    </w:pPr>
    <w:rPr>
      <w:rFonts w:eastAsiaTheme="minorHAnsi" w:cs="Arial"/>
      <w:b/>
      <w:bCs/>
      <w:color w:val="000000"/>
      <w:spacing w:val="40"/>
      <w:sz w:val="22"/>
      <w:szCs w:val="22"/>
    </w:rPr>
  </w:style>
  <w:style w:type="character" w:customStyle="1" w:styleId="NaslovpredpisaZnak">
    <w:name w:val="Naslov_predpisa Znak"/>
    <w:link w:val="Naslovpredpisa"/>
    <w:locked/>
    <w:rsid w:val="00583B04"/>
    <w:rPr>
      <w:rFonts w:ascii="Arial" w:hAnsi="Arial" w:cs="Arial"/>
      <w:b/>
    </w:rPr>
  </w:style>
  <w:style w:type="paragraph" w:customStyle="1" w:styleId="Naslovpredpisa">
    <w:name w:val="Naslov_predpisa"/>
    <w:basedOn w:val="Navaden"/>
    <w:link w:val="NaslovpredpisaZnak"/>
    <w:qFormat/>
    <w:rsid w:val="00583B04"/>
    <w:pPr>
      <w:suppressAutoHyphens/>
      <w:overflowPunct w:val="0"/>
      <w:autoSpaceDE w:val="0"/>
      <w:autoSpaceDN w:val="0"/>
      <w:adjustRightInd w:val="0"/>
      <w:spacing w:before="120" w:after="160" w:line="200" w:lineRule="exact"/>
      <w:jc w:val="center"/>
    </w:pPr>
    <w:rPr>
      <w:rFonts w:eastAsiaTheme="minorHAnsi" w:cs="Arial"/>
      <w:b/>
      <w:sz w:val="22"/>
      <w:szCs w:val="22"/>
    </w:rPr>
  </w:style>
  <w:style w:type="paragraph" w:customStyle="1" w:styleId="Poglavje">
    <w:name w:val="Poglavje"/>
    <w:basedOn w:val="Navaden"/>
    <w:qFormat/>
    <w:rsid w:val="00583B04"/>
    <w:pPr>
      <w:suppressAutoHyphens/>
      <w:overflowPunct w:val="0"/>
      <w:autoSpaceDE w:val="0"/>
      <w:autoSpaceDN w:val="0"/>
      <w:adjustRightInd w:val="0"/>
      <w:spacing w:before="360" w:after="60" w:line="200" w:lineRule="exact"/>
      <w:jc w:val="center"/>
      <w:outlineLvl w:val="3"/>
    </w:pPr>
    <w:rPr>
      <w:rFonts w:cs="Arial"/>
      <w:b/>
      <w:sz w:val="22"/>
      <w:szCs w:val="22"/>
      <w:lang w:eastAsia="sl-SI"/>
    </w:rPr>
  </w:style>
  <w:style w:type="character" w:customStyle="1" w:styleId="OddelekZnak1">
    <w:name w:val="Oddelek Znak1"/>
    <w:link w:val="Oddelek"/>
    <w:locked/>
    <w:rsid w:val="00583B04"/>
    <w:rPr>
      <w:rFonts w:ascii="Arial" w:hAnsi="Arial" w:cs="Arial"/>
      <w:b/>
    </w:rPr>
  </w:style>
  <w:style w:type="paragraph" w:customStyle="1" w:styleId="Oddelek">
    <w:name w:val="Oddelek"/>
    <w:basedOn w:val="Navaden"/>
    <w:link w:val="OddelekZnak1"/>
    <w:qFormat/>
    <w:rsid w:val="00583B04"/>
    <w:pPr>
      <w:numPr>
        <w:numId w:val="1"/>
      </w:numPr>
      <w:suppressAutoHyphens/>
      <w:overflowPunct w:val="0"/>
      <w:autoSpaceDE w:val="0"/>
      <w:autoSpaceDN w:val="0"/>
      <w:adjustRightInd w:val="0"/>
      <w:spacing w:before="280" w:after="60" w:line="200" w:lineRule="exact"/>
      <w:ind w:left="0" w:firstLine="0"/>
      <w:jc w:val="center"/>
      <w:outlineLvl w:val="3"/>
    </w:pPr>
    <w:rPr>
      <w:rFonts w:eastAsiaTheme="minorHAnsi" w:cs="Arial"/>
      <w:b/>
      <w:sz w:val="22"/>
      <w:szCs w:val="22"/>
    </w:rPr>
  </w:style>
  <w:style w:type="character" w:customStyle="1" w:styleId="OdstavekZnak">
    <w:name w:val="Odstavek Znak"/>
    <w:link w:val="Odstavek"/>
    <w:locked/>
    <w:rsid w:val="00583B04"/>
    <w:rPr>
      <w:rFonts w:ascii="Arial" w:hAnsi="Arial" w:cs="Arial"/>
    </w:rPr>
  </w:style>
  <w:style w:type="paragraph" w:customStyle="1" w:styleId="Odstavek">
    <w:name w:val="Odstavek"/>
    <w:basedOn w:val="Navaden"/>
    <w:link w:val="OdstavekZnak"/>
    <w:qFormat/>
    <w:rsid w:val="00583B04"/>
    <w:pPr>
      <w:overflowPunct w:val="0"/>
      <w:autoSpaceDE w:val="0"/>
      <w:autoSpaceDN w:val="0"/>
      <w:adjustRightInd w:val="0"/>
      <w:spacing w:before="240" w:line="240" w:lineRule="auto"/>
      <w:ind w:firstLine="1021"/>
      <w:jc w:val="both"/>
    </w:pPr>
    <w:rPr>
      <w:rFonts w:eastAsiaTheme="minorHAnsi" w:cs="Arial"/>
      <w:sz w:val="22"/>
      <w:szCs w:val="22"/>
    </w:rPr>
  </w:style>
  <w:style w:type="character" w:customStyle="1" w:styleId="lenZnak">
    <w:name w:val="Člen Znak"/>
    <w:link w:val="len"/>
    <w:locked/>
    <w:rsid w:val="00583B04"/>
    <w:rPr>
      <w:rFonts w:ascii="Arial" w:hAnsi="Arial" w:cs="Arial"/>
      <w:b/>
    </w:rPr>
  </w:style>
  <w:style w:type="paragraph" w:customStyle="1" w:styleId="len">
    <w:name w:val="Člen"/>
    <w:basedOn w:val="Navaden"/>
    <w:link w:val="lenZnak"/>
    <w:qFormat/>
    <w:rsid w:val="00583B04"/>
    <w:pPr>
      <w:suppressAutoHyphens/>
      <w:overflowPunct w:val="0"/>
      <w:autoSpaceDE w:val="0"/>
      <w:autoSpaceDN w:val="0"/>
      <w:adjustRightInd w:val="0"/>
      <w:spacing w:before="480" w:line="240" w:lineRule="auto"/>
      <w:jc w:val="center"/>
    </w:pPr>
    <w:rPr>
      <w:rFonts w:eastAsiaTheme="minorHAnsi" w:cs="Arial"/>
      <w:b/>
      <w:sz w:val="22"/>
      <w:szCs w:val="22"/>
    </w:rPr>
  </w:style>
  <w:style w:type="character" w:customStyle="1" w:styleId="AlineazaodstavkomZnak">
    <w:name w:val="Alinea za odstavkom Znak"/>
    <w:link w:val="Alineazaodstavkom"/>
    <w:locked/>
    <w:rsid w:val="00583B04"/>
    <w:rPr>
      <w:rFonts w:ascii="Arial" w:hAnsi="Arial" w:cs="Arial"/>
      <w:lang w:val="x-none" w:eastAsia="x-none"/>
    </w:rPr>
  </w:style>
  <w:style w:type="paragraph" w:customStyle="1" w:styleId="Alineazaodstavkom">
    <w:name w:val="Alinea za odstavkom"/>
    <w:basedOn w:val="Navaden"/>
    <w:link w:val="AlineazaodstavkomZnak"/>
    <w:qFormat/>
    <w:rsid w:val="00583B04"/>
    <w:pPr>
      <w:numPr>
        <w:numId w:val="2"/>
      </w:numPr>
      <w:tabs>
        <w:tab w:val="left" w:pos="540"/>
        <w:tab w:val="left" w:pos="900"/>
      </w:tabs>
      <w:spacing w:line="240" w:lineRule="auto"/>
      <w:jc w:val="both"/>
    </w:pPr>
    <w:rPr>
      <w:rFonts w:eastAsiaTheme="minorHAnsi" w:cs="Arial"/>
      <w:sz w:val="22"/>
      <w:szCs w:val="22"/>
      <w:lang w:val="x-none" w:eastAsia="x-none"/>
    </w:rPr>
  </w:style>
  <w:style w:type="character" w:customStyle="1" w:styleId="rkovnatokazaodstavkomZnak">
    <w:name w:val="Črkovna točka_za odstavkom Znak"/>
    <w:link w:val="rkovnatokazaodstavkom"/>
    <w:locked/>
    <w:rsid w:val="00583B04"/>
    <w:rPr>
      <w:rFonts w:ascii="Arial" w:hAnsi="Arial" w:cs="Arial"/>
    </w:rPr>
  </w:style>
  <w:style w:type="paragraph" w:customStyle="1" w:styleId="rkovnatokazaodstavkom">
    <w:name w:val="Črkovna točka_za odstavkom"/>
    <w:basedOn w:val="Navaden"/>
    <w:link w:val="rkovnatokazaodstavkomZnak"/>
    <w:qFormat/>
    <w:rsid w:val="00583B04"/>
    <w:pPr>
      <w:tabs>
        <w:tab w:val="num" w:pos="1080"/>
      </w:tabs>
      <w:overflowPunct w:val="0"/>
      <w:autoSpaceDE w:val="0"/>
      <w:autoSpaceDN w:val="0"/>
      <w:adjustRightInd w:val="0"/>
      <w:spacing w:line="200" w:lineRule="exact"/>
      <w:ind w:left="1080" w:hanging="360"/>
      <w:jc w:val="both"/>
    </w:pPr>
    <w:rPr>
      <w:rFonts w:eastAsiaTheme="minorHAnsi" w:cs="Arial"/>
      <w:sz w:val="22"/>
      <w:szCs w:val="22"/>
    </w:rPr>
  </w:style>
  <w:style w:type="character" w:customStyle="1" w:styleId="OdsekZnak">
    <w:name w:val="Odsek Znak"/>
    <w:basedOn w:val="OddelekZnak1"/>
    <w:link w:val="Odsek"/>
    <w:locked/>
    <w:rsid w:val="00583B04"/>
    <w:rPr>
      <w:rFonts w:ascii="Arial" w:hAnsi="Arial" w:cs="Arial"/>
      <w:b/>
    </w:rPr>
  </w:style>
  <w:style w:type="paragraph" w:customStyle="1" w:styleId="Odsek">
    <w:name w:val="Odsek"/>
    <w:basedOn w:val="Oddelek"/>
    <w:link w:val="OdsekZnak"/>
    <w:qFormat/>
    <w:rsid w:val="00583B04"/>
    <w:pPr>
      <w:numPr>
        <w:numId w:val="0"/>
      </w:numPr>
      <w:tabs>
        <w:tab w:val="num" w:pos="720"/>
      </w:tabs>
    </w:pPr>
  </w:style>
  <w:style w:type="character" w:customStyle="1" w:styleId="PravnapodlagaZnak">
    <w:name w:val="Pravna podlaga Znak"/>
    <w:basedOn w:val="OdstavekZnak"/>
    <w:link w:val="Pravnapodlaga"/>
    <w:locked/>
    <w:rsid w:val="00583B04"/>
    <w:rPr>
      <w:rFonts w:ascii="Arial" w:hAnsi="Arial" w:cs="Arial"/>
    </w:rPr>
  </w:style>
  <w:style w:type="paragraph" w:customStyle="1" w:styleId="Pravnapodlaga">
    <w:name w:val="Pravna podlaga"/>
    <w:basedOn w:val="Odstavek"/>
    <w:link w:val="PravnapodlagaZnak"/>
    <w:qFormat/>
    <w:rsid w:val="00583B04"/>
    <w:pPr>
      <w:spacing w:before="480"/>
    </w:pPr>
  </w:style>
  <w:style w:type="character" w:customStyle="1" w:styleId="DatumsprejetjaZnak">
    <w:name w:val="Datum sprejetja Znak"/>
    <w:link w:val="Datumsprejetja"/>
    <w:locked/>
    <w:rsid w:val="00583B04"/>
    <w:rPr>
      <w:rFonts w:ascii="Arial" w:hAnsi="Arial" w:cs="Arial"/>
      <w:color w:val="000000"/>
    </w:rPr>
  </w:style>
  <w:style w:type="paragraph" w:customStyle="1" w:styleId="Datumsprejetja">
    <w:name w:val="Datum sprejetja"/>
    <w:basedOn w:val="Navaden"/>
    <w:link w:val="DatumsprejetjaZnak"/>
    <w:qFormat/>
    <w:rsid w:val="00583B04"/>
    <w:pPr>
      <w:overflowPunct w:val="0"/>
      <w:autoSpaceDE w:val="0"/>
      <w:autoSpaceDN w:val="0"/>
      <w:adjustRightInd w:val="0"/>
      <w:snapToGrid w:val="0"/>
      <w:spacing w:line="240" w:lineRule="auto"/>
      <w:jc w:val="both"/>
    </w:pPr>
    <w:rPr>
      <w:rFonts w:eastAsiaTheme="minorHAnsi" w:cs="Arial"/>
      <w:color w:val="000000"/>
      <w:sz w:val="22"/>
      <w:szCs w:val="22"/>
    </w:rPr>
  </w:style>
  <w:style w:type="paragraph" w:customStyle="1" w:styleId="lennaslov">
    <w:name w:val="Člen_naslov"/>
    <w:basedOn w:val="len"/>
    <w:qFormat/>
    <w:rsid w:val="00583B04"/>
    <w:pPr>
      <w:spacing w:before="0"/>
    </w:pPr>
  </w:style>
  <w:style w:type="character" w:customStyle="1" w:styleId="EVAZnak">
    <w:name w:val="EVA Znak"/>
    <w:link w:val="EVA"/>
    <w:locked/>
    <w:rsid w:val="00583B04"/>
    <w:rPr>
      <w:rFonts w:ascii="Arial" w:hAnsi="Arial" w:cs="Arial"/>
    </w:rPr>
  </w:style>
  <w:style w:type="paragraph" w:customStyle="1" w:styleId="EVA">
    <w:name w:val="EVA"/>
    <w:basedOn w:val="Navaden"/>
    <w:link w:val="EVAZnak"/>
    <w:qFormat/>
    <w:rsid w:val="00583B04"/>
    <w:pPr>
      <w:overflowPunct w:val="0"/>
      <w:autoSpaceDE w:val="0"/>
      <w:autoSpaceDN w:val="0"/>
      <w:adjustRightInd w:val="0"/>
      <w:spacing w:line="240" w:lineRule="auto"/>
      <w:jc w:val="both"/>
    </w:pPr>
    <w:rPr>
      <w:rFonts w:eastAsiaTheme="minorHAnsi" w:cs="Arial"/>
      <w:sz w:val="22"/>
      <w:szCs w:val="22"/>
    </w:rPr>
  </w:style>
  <w:style w:type="character" w:customStyle="1" w:styleId="ImeorganaZnak">
    <w:name w:val="Ime organa Znak"/>
    <w:link w:val="Imeorgana"/>
    <w:locked/>
    <w:rsid w:val="00583B04"/>
    <w:rPr>
      <w:rFonts w:ascii="Arial" w:hAnsi="Arial" w:cs="Arial"/>
    </w:rPr>
  </w:style>
  <w:style w:type="paragraph" w:customStyle="1" w:styleId="Imeorgana">
    <w:name w:val="Ime organa"/>
    <w:basedOn w:val="Navaden"/>
    <w:link w:val="ImeorganaZnak"/>
    <w:qFormat/>
    <w:rsid w:val="00583B04"/>
    <w:pPr>
      <w:overflowPunct w:val="0"/>
      <w:autoSpaceDE w:val="0"/>
      <w:autoSpaceDN w:val="0"/>
      <w:adjustRightInd w:val="0"/>
      <w:spacing w:before="480" w:line="240" w:lineRule="auto"/>
      <w:ind w:left="5670"/>
      <w:jc w:val="center"/>
    </w:pPr>
    <w:rPr>
      <w:rFonts w:eastAsiaTheme="minorHAnsi" w:cs="Arial"/>
      <w:sz w:val="22"/>
      <w:szCs w:val="22"/>
    </w:rPr>
  </w:style>
  <w:style w:type="character" w:customStyle="1" w:styleId="ZamakanjenadolobatretjinivoZnak">
    <w:name w:val="Zamakanjena določba_tretji nivo Znak"/>
    <w:link w:val="Zamakanjenadolobatretjinivo"/>
    <w:locked/>
    <w:rsid w:val="00583B04"/>
    <w:rPr>
      <w:rFonts w:ascii="Arial" w:hAnsi="Arial" w:cs="Arial"/>
    </w:rPr>
  </w:style>
  <w:style w:type="paragraph" w:customStyle="1" w:styleId="Zamakanjenadolobatretjinivo">
    <w:name w:val="Zamakanjena določba_tretji nivo"/>
    <w:basedOn w:val="Navaden"/>
    <w:link w:val="ZamakanjenadolobatretjinivoZnak"/>
    <w:qFormat/>
    <w:rsid w:val="00583B04"/>
    <w:pPr>
      <w:spacing w:line="240" w:lineRule="auto"/>
      <w:ind w:left="993"/>
      <w:jc w:val="both"/>
    </w:pPr>
    <w:rPr>
      <w:rFonts w:eastAsiaTheme="minorHAnsi" w:cs="Arial"/>
      <w:sz w:val="22"/>
      <w:szCs w:val="22"/>
    </w:rPr>
  </w:style>
  <w:style w:type="paragraph" w:customStyle="1" w:styleId="pododdelek1">
    <w:name w:val="pododdelek1"/>
    <w:basedOn w:val="Navaden"/>
    <w:rsid w:val="00583B04"/>
    <w:pPr>
      <w:spacing w:before="480" w:line="240" w:lineRule="auto"/>
      <w:jc w:val="center"/>
    </w:pPr>
    <w:rPr>
      <w:rFonts w:cs="Arial"/>
      <w:sz w:val="22"/>
      <w:szCs w:val="22"/>
      <w:lang w:eastAsia="sl-SI"/>
    </w:rPr>
  </w:style>
  <w:style w:type="paragraph" w:customStyle="1" w:styleId="tevilkanakoncupredpisa">
    <w:name w:val="Številka na koncu predpisa"/>
    <w:basedOn w:val="Datumsprejetja"/>
    <w:link w:val="tevilkanakoncupredpisaZnak"/>
    <w:qFormat/>
    <w:rsid w:val="00583B04"/>
    <w:pPr>
      <w:spacing w:before="480"/>
    </w:pPr>
  </w:style>
  <w:style w:type="character" w:customStyle="1" w:styleId="tevilkanakoncupredpisaZnak">
    <w:name w:val="Številka na koncu predpisa Znak"/>
    <w:link w:val="tevilkanakoncupredpisa"/>
    <w:locked/>
    <w:rsid w:val="00583B04"/>
    <w:rPr>
      <w:rFonts w:ascii="Arial" w:hAnsi="Arial" w:cs="Arial"/>
      <w:color w:val="000000"/>
    </w:rPr>
  </w:style>
  <w:style w:type="paragraph" w:styleId="Besedilooblaka">
    <w:name w:val="Balloon Text"/>
    <w:basedOn w:val="Navaden"/>
    <w:link w:val="BesedilooblakaZnak"/>
    <w:uiPriority w:val="99"/>
    <w:semiHidden/>
    <w:unhideWhenUsed/>
    <w:rsid w:val="0032339B"/>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32339B"/>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50951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1287</Words>
  <Characters>7342</Characters>
  <Application>Microsoft Office Word</Application>
  <DocSecurity>0</DocSecurity>
  <Lines>61</Lines>
  <Paragraphs>17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8612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Roman Lavtar</dc:creator>
  <cp:lastModifiedBy>Roman Lavtar</cp:lastModifiedBy>
  <cp:revision>2</cp:revision>
  <dcterms:created xsi:type="dcterms:W3CDTF">2017-01-13T09:46:00Z</dcterms:created>
  <dcterms:modified xsi:type="dcterms:W3CDTF">2017-01-13T09:46:00Z</dcterms:modified>
</cp:coreProperties>
</file>