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453D0" w:rsidRPr="00D462AF" w:rsidRDefault="00291179" w:rsidP="000E138A">
      <w:pPr>
        <w:spacing w:before="40"/>
        <w:ind w:right="-3"/>
        <w:rPr>
          <w:rFonts w:ascii="Arial" w:hAnsi="Arial" w:cs="Arial"/>
          <w:sz w:val="20"/>
          <w:szCs w:val="20"/>
        </w:rPr>
      </w:pPr>
      <w:bookmarkStart w:id="0" w:name="_GoBack"/>
      <w:bookmarkEnd w:id="0"/>
      <w:r w:rsidRPr="00D462AF">
        <w:rPr>
          <w:rFonts w:ascii="Arial" w:hAnsi="Arial" w:cs="Arial"/>
          <w:noProof/>
          <w:color w:val="000000"/>
          <w:sz w:val="20"/>
          <w:szCs w:val="20"/>
          <w:lang w:eastAsia="sl-SI"/>
        </w:rPr>
        <w:drawing>
          <wp:anchor distT="0" distB="0" distL="114300" distR="114300" simplePos="0" relativeHeight="251658240" behindDoc="0" locked="0" layoutInCell="1" allowOverlap="1" wp14:anchorId="3DF2865C" wp14:editId="1C194520">
            <wp:simplePos x="0" y="0"/>
            <wp:positionH relativeFrom="column">
              <wp:posOffset>-27940</wp:posOffset>
            </wp:positionH>
            <wp:positionV relativeFrom="paragraph">
              <wp:posOffset>1905</wp:posOffset>
            </wp:positionV>
            <wp:extent cx="3121660" cy="376555"/>
            <wp:effectExtent l="0" t="0" r="2540" b="4445"/>
            <wp:wrapNone/>
            <wp:docPr id="12" name="Slika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121660" cy="376555"/>
                    </a:xfrm>
                    <a:prstGeom prst="rect">
                      <a:avLst/>
                    </a:prstGeom>
                    <a:noFill/>
                    <a:ln>
                      <a:noFill/>
                    </a:ln>
                  </pic:spPr>
                </pic:pic>
              </a:graphicData>
            </a:graphic>
            <wp14:sizeRelH relativeFrom="page">
              <wp14:pctWidth>0</wp14:pctWidth>
            </wp14:sizeRelH>
            <wp14:sizeRelV relativeFrom="page">
              <wp14:pctHeight>0</wp14:pctHeight>
            </wp14:sizeRelV>
          </wp:anchor>
        </w:drawing>
      </w:r>
      <w:r w:rsidR="000753CE">
        <w:rPr>
          <w:rFonts w:ascii="Arial" w:hAnsi="Arial" w:cs="Arial"/>
          <w:sz w:val="20"/>
          <w:szCs w:val="20"/>
        </w:rPr>
        <w:tab/>
      </w:r>
    </w:p>
    <w:p w:rsidR="000E138A" w:rsidRPr="00D462AF" w:rsidRDefault="000E138A" w:rsidP="000E138A">
      <w:pPr>
        <w:spacing w:before="40"/>
        <w:ind w:right="-3"/>
        <w:rPr>
          <w:rFonts w:ascii="Arial" w:hAnsi="Arial" w:cs="Arial"/>
          <w:sz w:val="20"/>
          <w:szCs w:val="20"/>
        </w:rPr>
      </w:pPr>
    </w:p>
    <w:p w:rsidR="000E138A" w:rsidRPr="00D462AF" w:rsidRDefault="000E138A" w:rsidP="000E138A">
      <w:pPr>
        <w:spacing w:before="60"/>
        <w:ind w:right="-3"/>
        <w:rPr>
          <w:rFonts w:ascii="Arial" w:hAnsi="Arial" w:cs="Arial"/>
          <w:sz w:val="20"/>
          <w:szCs w:val="20"/>
        </w:rPr>
      </w:pPr>
    </w:p>
    <w:p w:rsidR="000E138A" w:rsidRPr="00D462AF" w:rsidRDefault="0077131A" w:rsidP="000E138A">
      <w:pPr>
        <w:spacing w:before="60"/>
        <w:ind w:right="-3"/>
        <w:rPr>
          <w:rFonts w:ascii="Arial" w:hAnsi="Arial" w:cs="Arial"/>
          <w:sz w:val="20"/>
          <w:szCs w:val="20"/>
        </w:rPr>
      </w:pPr>
      <w:r w:rsidRPr="00D462AF">
        <w:rPr>
          <w:rFonts w:ascii="Arial" w:hAnsi="Arial" w:cs="Arial"/>
          <w:noProof/>
          <w:sz w:val="20"/>
          <w:szCs w:val="20"/>
          <w:lang w:eastAsia="sl-SI"/>
        </w:rPr>
        <mc:AlternateContent>
          <mc:Choice Requires="wps">
            <w:drawing>
              <wp:anchor distT="0" distB="0" distL="114300" distR="114300" simplePos="0" relativeHeight="251657216" behindDoc="1" locked="0" layoutInCell="1" allowOverlap="1" wp14:anchorId="107D9DF7" wp14:editId="3E21CF31">
                <wp:simplePos x="0" y="0"/>
                <wp:positionH relativeFrom="column">
                  <wp:posOffset>1404620</wp:posOffset>
                </wp:positionH>
                <wp:positionV relativeFrom="paragraph">
                  <wp:posOffset>9076055</wp:posOffset>
                </wp:positionV>
                <wp:extent cx="4791075" cy="580390"/>
                <wp:effectExtent l="635" t="0" r="0" b="2540"/>
                <wp:wrapNone/>
                <wp:docPr id="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91075" cy="5803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27B9B" w:rsidRPr="00D61ACE" w:rsidRDefault="00427B9B" w:rsidP="000E138A">
                            <w:pPr>
                              <w:rPr>
                                <w:color w:val="000000"/>
                                <w:spacing w:val="-2"/>
                                <w:sz w:val="16"/>
                                <w:szCs w:val="16"/>
                                <w:lang w:eastAsia="sl-SI"/>
                              </w:rPr>
                            </w:pP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8" o:spid="_x0000_s1026" type="#_x0000_t202" style="position:absolute;margin-left:110.6pt;margin-top:714.65pt;width:377.25pt;height:45.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" stroked="f">
                <v:textbox inset="0,0,0,0">
                  <w:txbxContent>
                    <w:p w:rsidR="00427B9B" w:rsidRPr="00D61ACE" w:rsidRDefault="00427B9B" w:rsidP="000E138A">
                      <w:pPr>
                        <w:rPr>
                          <w:color w:val="000000"/>
                          <w:spacing w:val="-2"/>
                          <w:sz w:val="16"/>
                          <w:szCs w:val="16"/>
                          <w:lang w:eastAsia="sl-SI"/>
                        </w:rPr>
                      </w:pPr>
                    </w:p>
                  </w:txbxContent>
                </v:textbox>
              </v:shape>
            </w:pict>
          </mc:Fallback>
        </mc:AlternateContent>
      </w:r>
    </w:p>
    <w:p w:rsidR="000E138A" w:rsidRPr="00D462AF" w:rsidRDefault="000E138A" w:rsidP="000E138A">
      <w:pPr>
        <w:pStyle w:val="Glava"/>
        <w:tabs>
          <w:tab w:val="clear" w:pos="4320"/>
          <w:tab w:val="clear" w:pos="8640"/>
          <w:tab w:val="left" w:pos="5112"/>
        </w:tabs>
        <w:spacing w:before="120" w:line="240" w:lineRule="exact"/>
        <w:rPr>
          <w:rFonts w:cs="Arial"/>
          <w:szCs w:val="20"/>
          <w:lang w:val="sl-SI"/>
        </w:rPr>
      </w:pPr>
      <w:r w:rsidRPr="00D462AF">
        <w:rPr>
          <w:rFonts w:cs="Arial"/>
          <w:szCs w:val="20"/>
          <w:lang w:val="sl-SI"/>
        </w:rPr>
        <w:t>Langusova ulica 4, 1535 Ljubljana</w:t>
      </w:r>
      <w:r w:rsidRPr="00D462AF">
        <w:rPr>
          <w:rFonts w:cs="Arial"/>
          <w:szCs w:val="20"/>
          <w:lang w:val="sl-SI"/>
        </w:rPr>
        <w:tab/>
        <w:t>T: 01 478 80 00</w:t>
      </w:r>
    </w:p>
    <w:p w:rsidR="000E138A" w:rsidRPr="00D462AF" w:rsidRDefault="000E138A" w:rsidP="000E138A">
      <w:pPr>
        <w:pStyle w:val="Glava"/>
        <w:tabs>
          <w:tab w:val="clear" w:pos="4320"/>
          <w:tab w:val="clear" w:pos="8640"/>
          <w:tab w:val="left" w:pos="5112"/>
        </w:tabs>
        <w:spacing w:line="240" w:lineRule="exact"/>
        <w:rPr>
          <w:rFonts w:cs="Arial"/>
          <w:szCs w:val="20"/>
          <w:lang w:val="sl-SI"/>
        </w:rPr>
      </w:pPr>
      <w:r w:rsidRPr="00D462AF">
        <w:rPr>
          <w:rFonts w:cs="Arial"/>
          <w:szCs w:val="20"/>
          <w:lang w:val="sl-SI"/>
        </w:rPr>
        <w:tab/>
        <w:t xml:space="preserve">F: 01 478 81 39 </w:t>
      </w:r>
    </w:p>
    <w:p w:rsidR="000E138A" w:rsidRPr="00D462AF" w:rsidRDefault="000E138A" w:rsidP="000E138A">
      <w:pPr>
        <w:pStyle w:val="Glava"/>
        <w:tabs>
          <w:tab w:val="clear" w:pos="4320"/>
          <w:tab w:val="clear" w:pos="8640"/>
          <w:tab w:val="left" w:pos="5112"/>
        </w:tabs>
        <w:spacing w:line="240" w:lineRule="exact"/>
        <w:rPr>
          <w:rFonts w:cs="Arial"/>
          <w:szCs w:val="20"/>
          <w:lang w:val="sl-SI"/>
        </w:rPr>
      </w:pPr>
      <w:r w:rsidRPr="00D462AF">
        <w:rPr>
          <w:rFonts w:cs="Arial"/>
          <w:szCs w:val="20"/>
          <w:lang w:val="sl-SI"/>
        </w:rPr>
        <w:tab/>
        <w:t>E: gp.mz</w:t>
      </w:r>
      <w:r w:rsidR="001F3974" w:rsidRPr="00D462AF">
        <w:rPr>
          <w:rFonts w:cs="Arial"/>
          <w:szCs w:val="20"/>
          <w:lang w:val="sl-SI"/>
        </w:rPr>
        <w:t>i</w:t>
      </w:r>
      <w:r w:rsidRPr="00D462AF">
        <w:rPr>
          <w:rFonts w:cs="Arial"/>
          <w:szCs w:val="20"/>
          <w:lang w:val="sl-SI"/>
        </w:rPr>
        <w:t>@gov.si</w:t>
      </w:r>
    </w:p>
    <w:p w:rsidR="000E138A" w:rsidRPr="00D462AF" w:rsidRDefault="000E138A" w:rsidP="000E138A">
      <w:pPr>
        <w:pStyle w:val="Glava"/>
        <w:tabs>
          <w:tab w:val="clear" w:pos="4320"/>
          <w:tab w:val="clear" w:pos="8640"/>
          <w:tab w:val="left" w:pos="5112"/>
        </w:tabs>
        <w:spacing w:line="240" w:lineRule="exact"/>
        <w:rPr>
          <w:rFonts w:cs="Arial"/>
          <w:szCs w:val="20"/>
          <w:lang w:val="sl-SI"/>
        </w:rPr>
      </w:pPr>
      <w:r w:rsidRPr="00D462AF">
        <w:rPr>
          <w:rFonts w:cs="Arial"/>
          <w:szCs w:val="20"/>
          <w:lang w:val="sl-SI"/>
        </w:rPr>
        <w:tab/>
        <w:t>www.mz</w:t>
      </w:r>
      <w:r w:rsidR="001F3974" w:rsidRPr="00D462AF">
        <w:rPr>
          <w:rFonts w:cs="Arial"/>
          <w:szCs w:val="20"/>
          <w:lang w:val="sl-SI"/>
        </w:rPr>
        <w:t>i</w:t>
      </w:r>
      <w:r w:rsidRPr="00D462AF">
        <w:rPr>
          <w:rFonts w:cs="Arial"/>
          <w:szCs w:val="20"/>
          <w:lang w:val="sl-SI"/>
        </w:rPr>
        <w:t>.gov.si</w:t>
      </w:r>
    </w:p>
    <w:p w:rsidR="00156F06" w:rsidRDefault="00156F06" w:rsidP="00531C1D">
      <w:pPr>
        <w:suppressAutoHyphens w:val="0"/>
        <w:overflowPunct w:val="0"/>
        <w:autoSpaceDE w:val="0"/>
        <w:autoSpaceDN w:val="0"/>
        <w:adjustRightInd w:val="0"/>
        <w:textAlignment w:val="baseline"/>
        <w:rPr>
          <w:rFonts w:ascii="Arial" w:hAnsi="Arial" w:cs="Arial"/>
          <w:sz w:val="20"/>
          <w:szCs w:val="20"/>
          <w:lang w:eastAsia="sl-SI"/>
        </w:rPr>
      </w:pPr>
    </w:p>
    <w:p w:rsidR="00156F06" w:rsidRDefault="00156F06" w:rsidP="00531C1D">
      <w:pPr>
        <w:suppressAutoHyphens w:val="0"/>
        <w:overflowPunct w:val="0"/>
        <w:autoSpaceDE w:val="0"/>
        <w:autoSpaceDN w:val="0"/>
        <w:adjustRightInd w:val="0"/>
        <w:textAlignment w:val="baseline"/>
        <w:rPr>
          <w:rFonts w:ascii="Arial" w:hAnsi="Arial" w:cs="Arial"/>
          <w:sz w:val="20"/>
          <w:szCs w:val="20"/>
          <w:lang w:eastAsia="sl-SI"/>
        </w:rPr>
      </w:pPr>
    </w:p>
    <w:p w:rsidR="00D91D1F" w:rsidRPr="00D91D1F" w:rsidRDefault="00D91D1F" w:rsidP="00D91D1F">
      <w:pPr>
        <w:jc w:val="right"/>
        <w:rPr>
          <w:rFonts w:ascii="Arial" w:hAnsi="Arial" w:cs="Arial"/>
          <w:caps/>
        </w:rPr>
      </w:pPr>
    </w:p>
    <w:p w:rsidR="00D91D1F" w:rsidRPr="00D91D1F" w:rsidRDefault="00D91D1F" w:rsidP="00D91D1F">
      <w:pPr>
        <w:jc w:val="both"/>
        <w:rPr>
          <w:rFonts w:ascii="Arial" w:hAnsi="Arial" w:cs="Arial"/>
          <w:caps/>
        </w:rPr>
      </w:pPr>
    </w:p>
    <w:p w:rsidR="00D91D1F" w:rsidRDefault="00D91D1F" w:rsidP="00D91D1F">
      <w:pPr>
        <w:jc w:val="center"/>
        <w:rPr>
          <w:rFonts w:ascii="Arial" w:hAnsi="Arial" w:cs="Arial"/>
          <w:b/>
          <w:caps/>
          <w:sz w:val="28"/>
          <w:szCs w:val="28"/>
        </w:rPr>
      </w:pPr>
    </w:p>
    <w:p w:rsidR="00325AF0" w:rsidRDefault="00325AF0" w:rsidP="00D91D1F">
      <w:pPr>
        <w:jc w:val="center"/>
        <w:rPr>
          <w:rFonts w:ascii="Arial" w:hAnsi="Arial" w:cs="Arial"/>
          <w:b/>
          <w:caps/>
          <w:sz w:val="28"/>
          <w:szCs w:val="28"/>
        </w:rPr>
      </w:pPr>
    </w:p>
    <w:p w:rsidR="00325AF0" w:rsidRDefault="00325AF0" w:rsidP="00D91D1F">
      <w:pPr>
        <w:jc w:val="center"/>
        <w:rPr>
          <w:rFonts w:ascii="Arial" w:hAnsi="Arial" w:cs="Arial"/>
          <w:b/>
          <w:caps/>
          <w:sz w:val="28"/>
          <w:szCs w:val="28"/>
        </w:rPr>
      </w:pPr>
    </w:p>
    <w:p w:rsidR="00325AF0" w:rsidRDefault="00325AF0" w:rsidP="00D91D1F">
      <w:pPr>
        <w:jc w:val="center"/>
        <w:rPr>
          <w:rFonts w:ascii="Arial" w:hAnsi="Arial" w:cs="Arial"/>
          <w:b/>
          <w:caps/>
          <w:sz w:val="28"/>
          <w:szCs w:val="28"/>
        </w:rPr>
      </w:pPr>
    </w:p>
    <w:p w:rsidR="00325AF0" w:rsidRDefault="00325AF0" w:rsidP="00D91D1F">
      <w:pPr>
        <w:jc w:val="center"/>
        <w:rPr>
          <w:rFonts w:ascii="Arial" w:hAnsi="Arial" w:cs="Arial"/>
          <w:b/>
          <w:caps/>
          <w:sz w:val="28"/>
          <w:szCs w:val="28"/>
        </w:rPr>
      </w:pPr>
    </w:p>
    <w:p w:rsidR="00325AF0" w:rsidRDefault="00325AF0" w:rsidP="00D91D1F">
      <w:pPr>
        <w:jc w:val="center"/>
        <w:rPr>
          <w:rFonts w:ascii="Arial" w:hAnsi="Arial" w:cs="Arial"/>
          <w:b/>
          <w:caps/>
          <w:sz w:val="28"/>
          <w:szCs w:val="28"/>
        </w:rPr>
      </w:pPr>
    </w:p>
    <w:p w:rsidR="00325AF0" w:rsidRDefault="00325AF0" w:rsidP="00D91D1F">
      <w:pPr>
        <w:jc w:val="center"/>
        <w:rPr>
          <w:rFonts w:ascii="Arial" w:hAnsi="Arial" w:cs="Arial"/>
          <w:b/>
          <w:caps/>
          <w:sz w:val="28"/>
          <w:szCs w:val="28"/>
        </w:rPr>
      </w:pPr>
    </w:p>
    <w:p w:rsidR="00325AF0" w:rsidRDefault="00325AF0" w:rsidP="00D91D1F">
      <w:pPr>
        <w:jc w:val="center"/>
        <w:rPr>
          <w:rFonts w:ascii="Arial" w:hAnsi="Arial" w:cs="Arial"/>
          <w:b/>
          <w:caps/>
          <w:sz w:val="28"/>
          <w:szCs w:val="28"/>
        </w:rPr>
      </w:pPr>
    </w:p>
    <w:p w:rsidR="00325AF0" w:rsidRDefault="00325AF0" w:rsidP="00D91D1F">
      <w:pPr>
        <w:jc w:val="center"/>
        <w:rPr>
          <w:rFonts w:ascii="Arial" w:hAnsi="Arial" w:cs="Arial"/>
          <w:b/>
          <w:caps/>
          <w:sz w:val="28"/>
          <w:szCs w:val="28"/>
        </w:rPr>
      </w:pPr>
    </w:p>
    <w:p w:rsidR="00325AF0" w:rsidRPr="00D91D1F" w:rsidRDefault="00325AF0" w:rsidP="00D91D1F">
      <w:pPr>
        <w:jc w:val="center"/>
        <w:rPr>
          <w:rFonts w:ascii="Arial" w:hAnsi="Arial" w:cs="Arial"/>
          <w:b/>
          <w:caps/>
          <w:sz w:val="28"/>
          <w:szCs w:val="28"/>
        </w:rPr>
      </w:pPr>
    </w:p>
    <w:p w:rsidR="00D91D1F" w:rsidRPr="00EA76A8" w:rsidRDefault="00D91D1F" w:rsidP="00D91D1F">
      <w:pPr>
        <w:jc w:val="center"/>
        <w:rPr>
          <w:rFonts w:ascii="Arial" w:hAnsi="Arial" w:cs="Arial"/>
          <w:b/>
          <w:caps/>
          <w:sz w:val="36"/>
          <w:szCs w:val="28"/>
        </w:rPr>
      </w:pPr>
      <w:r w:rsidRPr="00EA76A8">
        <w:rPr>
          <w:rFonts w:ascii="Arial" w:hAnsi="Arial" w:cs="Arial"/>
          <w:b/>
          <w:caps/>
          <w:sz w:val="36"/>
          <w:szCs w:val="28"/>
        </w:rPr>
        <w:t>resolucija o nacionalnem programu razvoja prometa v republiki sloveniji</w:t>
      </w:r>
    </w:p>
    <w:p w:rsidR="00D91D1F" w:rsidRDefault="00D91D1F" w:rsidP="00D91D1F">
      <w:pPr>
        <w:jc w:val="both"/>
        <w:rPr>
          <w:rFonts w:ascii="Arial" w:hAnsi="Arial" w:cs="Arial"/>
          <w:caps/>
        </w:rPr>
      </w:pPr>
    </w:p>
    <w:p w:rsidR="00325AF0" w:rsidRDefault="00325AF0" w:rsidP="00D91D1F">
      <w:pPr>
        <w:jc w:val="both"/>
        <w:rPr>
          <w:rFonts w:ascii="Arial" w:hAnsi="Arial" w:cs="Arial"/>
          <w:caps/>
        </w:rPr>
      </w:pPr>
    </w:p>
    <w:p w:rsidR="00325AF0" w:rsidRDefault="00325AF0" w:rsidP="00D91D1F">
      <w:pPr>
        <w:jc w:val="both"/>
        <w:rPr>
          <w:rFonts w:ascii="Arial" w:hAnsi="Arial" w:cs="Arial"/>
          <w:caps/>
        </w:rPr>
      </w:pPr>
    </w:p>
    <w:p w:rsidR="00325AF0" w:rsidRDefault="00325AF0" w:rsidP="00D91D1F">
      <w:pPr>
        <w:jc w:val="both"/>
        <w:rPr>
          <w:rFonts w:ascii="Arial" w:hAnsi="Arial" w:cs="Arial"/>
          <w:caps/>
        </w:rPr>
      </w:pPr>
    </w:p>
    <w:p w:rsidR="00325AF0" w:rsidRDefault="00325AF0" w:rsidP="00D91D1F">
      <w:pPr>
        <w:jc w:val="both"/>
        <w:rPr>
          <w:rFonts w:ascii="Arial" w:hAnsi="Arial" w:cs="Arial"/>
          <w:caps/>
        </w:rPr>
      </w:pPr>
    </w:p>
    <w:p w:rsidR="00325AF0" w:rsidRDefault="00325AF0" w:rsidP="00D91D1F">
      <w:pPr>
        <w:jc w:val="both"/>
        <w:rPr>
          <w:rFonts w:ascii="Arial" w:hAnsi="Arial" w:cs="Arial"/>
          <w:caps/>
        </w:rPr>
      </w:pPr>
    </w:p>
    <w:p w:rsidR="00325AF0" w:rsidRDefault="00325AF0" w:rsidP="00D91D1F">
      <w:pPr>
        <w:jc w:val="both"/>
        <w:rPr>
          <w:rFonts w:ascii="Arial" w:hAnsi="Arial" w:cs="Arial"/>
          <w:caps/>
        </w:rPr>
      </w:pPr>
    </w:p>
    <w:p w:rsidR="00325AF0" w:rsidRDefault="00325AF0" w:rsidP="00D91D1F">
      <w:pPr>
        <w:jc w:val="both"/>
        <w:rPr>
          <w:rFonts w:ascii="Arial" w:hAnsi="Arial" w:cs="Arial"/>
          <w:caps/>
        </w:rPr>
      </w:pPr>
    </w:p>
    <w:p w:rsidR="00325AF0" w:rsidRDefault="00325AF0" w:rsidP="00D91D1F">
      <w:pPr>
        <w:jc w:val="both"/>
        <w:rPr>
          <w:rFonts w:ascii="Arial" w:hAnsi="Arial" w:cs="Arial"/>
          <w:caps/>
        </w:rPr>
      </w:pPr>
    </w:p>
    <w:p w:rsidR="00325AF0" w:rsidRDefault="00325AF0" w:rsidP="00D91D1F">
      <w:pPr>
        <w:jc w:val="both"/>
        <w:rPr>
          <w:rFonts w:ascii="Arial" w:hAnsi="Arial" w:cs="Arial"/>
          <w:caps/>
        </w:rPr>
      </w:pPr>
    </w:p>
    <w:p w:rsidR="00325AF0" w:rsidRDefault="00325AF0" w:rsidP="00D91D1F">
      <w:pPr>
        <w:jc w:val="both"/>
        <w:rPr>
          <w:rFonts w:ascii="Arial" w:hAnsi="Arial" w:cs="Arial"/>
          <w:caps/>
        </w:rPr>
      </w:pPr>
    </w:p>
    <w:p w:rsidR="00325AF0" w:rsidRDefault="00325AF0" w:rsidP="00D91D1F">
      <w:pPr>
        <w:jc w:val="both"/>
        <w:rPr>
          <w:rFonts w:ascii="Arial" w:hAnsi="Arial" w:cs="Arial"/>
          <w:caps/>
        </w:rPr>
      </w:pPr>
    </w:p>
    <w:p w:rsidR="00325AF0" w:rsidRDefault="00325AF0" w:rsidP="00D91D1F">
      <w:pPr>
        <w:jc w:val="both"/>
        <w:rPr>
          <w:rFonts w:ascii="Arial" w:hAnsi="Arial" w:cs="Arial"/>
          <w:caps/>
        </w:rPr>
      </w:pPr>
    </w:p>
    <w:p w:rsidR="00325AF0" w:rsidRDefault="00325AF0" w:rsidP="00D91D1F">
      <w:pPr>
        <w:jc w:val="both"/>
        <w:rPr>
          <w:rFonts w:ascii="Arial" w:hAnsi="Arial" w:cs="Arial"/>
          <w:caps/>
        </w:rPr>
      </w:pPr>
    </w:p>
    <w:p w:rsidR="00325AF0" w:rsidRDefault="00325AF0" w:rsidP="00D91D1F">
      <w:pPr>
        <w:jc w:val="both"/>
        <w:rPr>
          <w:rFonts w:ascii="Arial" w:hAnsi="Arial" w:cs="Arial"/>
          <w:caps/>
        </w:rPr>
      </w:pPr>
    </w:p>
    <w:p w:rsidR="00325AF0" w:rsidRDefault="00325AF0" w:rsidP="00D91D1F">
      <w:pPr>
        <w:jc w:val="both"/>
        <w:rPr>
          <w:rFonts w:ascii="Arial" w:hAnsi="Arial" w:cs="Arial"/>
          <w:caps/>
        </w:rPr>
      </w:pPr>
    </w:p>
    <w:p w:rsidR="00325AF0" w:rsidRDefault="00325AF0" w:rsidP="00D91D1F">
      <w:pPr>
        <w:jc w:val="both"/>
        <w:rPr>
          <w:rFonts w:ascii="Arial" w:hAnsi="Arial" w:cs="Arial"/>
          <w:caps/>
        </w:rPr>
      </w:pPr>
    </w:p>
    <w:p w:rsidR="00325AF0" w:rsidRDefault="00325AF0" w:rsidP="00D91D1F">
      <w:pPr>
        <w:jc w:val="both"/>
        <w:rPr>
          <w:rFonts w:ascii="Arial" w:hAnsi="Arial" w:cs="Arial"/>
          <w:caps/>
        </w:rPr>
      </w:pPr>
    </w:p>
    <w:p w:rsidR="00325AF0" w:rsidRDefault="00325AF0" w:rsidP="00D91D1F">
      <w:pPr>
        <w:jc w:val="both"/>
        <w:rPr>
          <w:rFonts w:ascii="Arial" w:hAnsi="Arial" w:cs="Arial"/>
          <w:caps/>
        </w:rPr>
      </w:pPr>
    </w:p>
    <w:p w:rsidR="00325AF0" w:rsidRDefault="00325AF0" w:rsidP="00D91D1F">
      <w:pPr>
        <w:jc w:val="both"/>
        <w:rPr>
          <w:rFonts w:ascii="Arial" w:hAnsi="Arial" w:cs="Arial"/>
          <w:caps/>
        </w:rPr>
      </w:pPr>
    </w:p>
    <w:p w:rsidR="00325AF0" w:rsidRDefault="00325AF0" w:rsidP="00D91D1F">
      <w:pPr>
        <w:jc w:val="both"/>
        <w:rPr>
          <w:rFonts w:ascii="Arial" w:hAnsi="Arial" w:cs="Arial"/>
          <w:caps/>
        </w:rPr>
      </w:pPr>
    </w:p>
    <w:p w:rsidR="00325AF0" w:rsidRDefault="00325AF0" w:rsidP="00D91D1F">
      <w:pPr>
        <w:jc w:val="both"/>
        <w:rPr>
          <w:rFonts w:ascii="Arial" w:hAnsi="Arial" w:cs="Arial"/>
          <w:caps/>
        </w:rPr>
      </w:pPr>
    </w:p>
    <w:p w:rsidR="00325AF0" w:rsidRDefault="00325AF0" w:rsidP="00D91D1F">
      <w:pPr>
        <w:jc w:val="both"/>
        <w:rPr>
          <w:rFonts w:ascii="Arial" w:hAnsi="Arial" w:cs="Arial"/>
          <w:caps/>
        </w:rPr>
      </w:pPr>
    </w:p>
    <w:p w:rsidR="00325AF0" w:rsidRDefault="00325AF0" w:rsidP="00D91D1F">
      <w:pPr>
        <w:jc w:val="both"/>
        <w:rPr>
          <w:rFonts w:ascii="Arial" w:hAnsi="Arial" w:cs="Arial"/>
          <w:caps/>
        </w:rPr>
      </w:pPr>
    </w:p>
    <w:p w:rsidR="00325AF0" w:rsidRPr="00B366F2" w:rsidRDefault="00B366F2" w:rsidP="00D91D1F">
      <w:pPr>
        <w:jc w:val="both"/>
        <w:rPr>
          <w:rFonts w:ascii="Arial" w:hAnsi="Arial" w:cs="Arial"/>
          <w:b/>
          <w:caps/>
        </w:rPr>
      </w:pPr>
      <w:r w:rsidRPr="00B366F2">
        <w:rPr>
          <w:rFonts w:ascii="Arial" w:hAnsi="Arial" w:cs="Arial"/>
          <w:b/>
          <w:caps/>
          <w:sz w:val="32"/>
        </w:rPr>
        <w:lastRenderedPageBreak/>
        <w:t>KAZALO</w:t>
      </w:r>
    </w:p>
    <w:sdt>
      <w:sdtPr>
        <w:rPr>
          <w:rFonts w:ascii="Arial" w:hAnsi="Arial" w:cs="Arial"/>
          <w:b w:val="0"/>
          <w:bCs w:val="0"/>
          <w:caps w:val="0"/>
          <w:color w:val="000000" w:themeColor="text1"/>
          <w:sz w:val="24"/>
          <w:szCs w:val="24"/>
          <w:lang w:eastAsia="ar-SA"/>
        </w:rPr>
        <w:id w:val="-656918442"/>
        <w:docPartObj>
          <w:docPartGallery w:val="Table of Contents"/>
          <w:docPartUnique/>
        </w:docPartObj>
      </w:sdtPr>
      <w:sdtEndPr/>
      <w:sdtContent>
        <w:p w:rsidR="000753CE" w:rsidRPr="00AF4071" w:rsidRDefault="000753CE">
          <w:pPr>
            <w:pStyle w:val="NaslovTOC"/>
            <w:rPr>
              <w:rFonts w:ascii="Arial" w:hAnsi="Arial" w:cs="Arial"/>
              <w:color w:val="000000" w:themeColor="text1"/>
              <w:sz w:val="16"/>
            </w:rPr>
          </w:pPr>
        </w:p>
        <w:p w:rsidR="00233EDC" w:rsidRPr="00AF4071" w:rsidRDefault="00233EDC" w:rsidP="00AF4071">
          <w:pPr>
            <w:pStyle w:val="Kazalovsebine1"/>
            <w:rPr>
              <w:rFonts w:eastAsiaTheme="minorEastAsia"/>
              <w:noProof/>
              <w:szCs w:val="22"/>
              <w:lang w:eastAsia="sl-SI"/>
            </w:rPr>
          </w:pPr>
          <w:r w:rsidRPr="00AF4071">
            <w:rPr>
              <w:rStyle w:val="Hiperpovezava"/>
              <w:rFonts w:ascii="Arial" w:hAnsi="Arial" w:cs="Arial"/>
              <w:noProof/>
              <w:color w:val="000000" w:themeColor="text1"/>
              <w:u w:val="none"/>
            </w:rPr>
            <w:t>1.</w:t>
          </w:r>
          <w:r w:rsidRPr="00AF4071">
            <w:rPr>
              <w:rFonts w:eastAsiaTheme="minorEastAsia"/>
              <w:noProof/>
              <w:szCs w:val="22"/>
              <w:lang w:eastAsia="sl-SI"/>
            </w:rPr>
            <w:tab/>
          </w:r>
          <w:r w:rsidRPr="00AF4071">
            <w:rPr>
              <w:rStyle w:val="Hiperpovezava"/>
              <w:rFonts w:ascii="Arial" w:hAnsi="Arial" w:cs="Arial"/>
              <w:noProof/>
              <w:color w:val="000000" w:themeColor="text1"/>
              <w:u w:val="none"/>
            </w:rPr>
            <w:t>UVOD</w:t>
          </w:r>
          <w:r w:rsidRPr="00AF4071">
            <w:rPr>
              <w:noProof/>
              <w:webHidden/>
            </w:rPr>
            <w:tab/>
            <w:t>3</w:t>
          </w:r>
        </w:p>
        <w:p w:rsidR="00233EDC" w:rsidRPr="00AF4071" w:rsidRDefault="00233EDC" w:rsidP="00AF4071">
          <w:pPr>
            <w:pStyle w:val="Kazalovsebine1"/>
            <w:rPr>
              <w:rFonts w:eastAsiaTheme="minorEastAsia"/>
              <w:noProof/>
              <w:szCs w:val="22"/>
              <w:lang w:eastAsia="sl-SI"/>
            </w:rPr>
          </w:pPr>
          <w:r w:rsidRPr="00AF4071">
            <w:rPr>
              <w:rStyle w:val="Hiperpovezava"/>
              <w:rFonts w:ascii="Arial" w:hAnsi="Arial" w:cs="Arial"/>
              <w:noProof/>
              <w:color w:val="000000" w:themeColor="text1"/>
              <w:u w:val="none"/>
            </w:rPr>
            <w:t>2.</w:t>
          </w:r>
          <w:r w:rsidRPr="00AF4071">
            <w:rPr>
              <w:rFonts w:eastAsiaTheme="minorEastAsia"/>
              <w:noProof/>
              <w:szCs w:val="22"/>
              <w:lang w:eastAsia="sl-SI"/>
            </w:rPr>
            <w:tab/>
          </w:r>
          <w:r w:rsidRPr="00AF4071">
            <w:rPr>
              <w:rStyle w:val="Hiperpovezava"/>
              <w:rFonts w:ascii="Arial" w:hAnsi="Arial" w:cs="Arial"/>
              <w:smallCaps/>
              <w:noProof/>
              <w:color w:val="000000" w:themeColor="text1"/>
              <w:spacing w:val="5"/>
              <w:u w:val="none"/>
            </w:rPr>
            <w:t>PRAVNA PODLAGA ZA IZDELAVO RESOLUCIJE O NACIONALNEM PROGRAMU RAZVOJA PROMETA V REPUBLIKI SLOVENIJI</w:t>
          </w:r>
          <w:r w:rsidRPr="00AF4071">
            <w:rPr>
              <w:noProof/>
              <w:webHidden/>
            </w:rPr>
            <w:tab/>
            <w:t>8</w:t>
          </w:r>
        </w:p>
        <w:p w:rsidR="00233EDC" w:rsidRPr="00AF4071" w:rsidRDefault="00233EDC" w:rsidP="00AF4071">
          <w:pPr>
            <w:pStyle w:val="Kazalovsebine1"/>
            <w:rPr>
              <w:rFonts w:eastAsiaTheme="minorEastAsia"/>
              <w:noProof/>
              <w:szCs w:val="22"/>
              <w:lang w:eastAsia="sl-SI"/>
            </w:rPr>
          </w:pPr>
          <w:r w:rsidRPr="00AF4071">
            <w:rPr>
              <w:rStyle w:val="Hiperpovezava"/>
              <w:rFonts w:ascii="Arial" w:hAnsi="Arial" w:cs="Arial"/>
              <w:caps/>
              <w:noProof/>
              <w:color w:val="000000" w:themeColor="text1"/>
              <w:u w:val="none"/>
            </w:rPr>
            <w:t>3.</w:t>
          </w:r>
          <w:r w:rsidRPr="00AF4071">
            <w:rPr>
              <w:rFonts w:eastAsiaTheme="minorEastAsia"/>
              <w:noProof/>
              <w:szCs w:val="22"/>
              <w:lang w:eastAsia="sl-SI"/>
            </w:rPr>
            <w:tab/>
          </w:r>
          <w:r w:rsidRPr="00AF4071">
            <w:rPr>
              <w:rStyle w:val="Hiperpovezava"/>
              <w:rFonts w:ascii="Arial" w:hAnsi="Arial" w:cs="Arial"/>
              <w:noProof/>
              <w:color w:val="000000" w:themeColor="text1"/>
              <w:u w:val="none"/>
            </w:rPr>
            <w:t>IZHODIŠČA ZA PRIPRAVO</w:t>
          </w:r>
          <w:r w:rsidRPr="00AF4071">
            <w:rPr>
              <w:noProof/>
              <w:webHidden/>
            </w:rPr>
            <w:tab/>
            <w:t>10</w:t>
          </w:r>
        </w:p>
        <w:p w:rsidR="00233EDC" w:rsidRPr="00AF4071" w:rsidRDefault="00233EDC" w:rsidP="00AF4071">
          <w:pPr>
            <w:pStyle w:val="Kazalovsebine1"/>
            <w:rPr>
              <w:rFonts w:eastAsiaTheme="minorEastAsia"/>
              <w:noProof/>
              <w:szCs w:val="22"/>
              <w:lang w:eastAsia="sl-SI"/>
            </w:rPr>
          </w:pPr>
          <w:r w:rsidRPr="00AF4071">
            <w:rPr>
              <w:rStyle w:val="Hiperpovezava"/>
              <w:rFonts w:ascii="Arial" w:hAnsi="Arial" w:cs="Arial"/>
              <w:smallCaps/>
              <w:noProof/>
              <w:color w:val="000000" w:themeColor="text1"/>
              <w:spacing w:val="5"/>
              <w:u w:val="none"/>
            </w:rPr>
            <w:t>4.</w:t>
          </w:r>
          <w:r w:rsidRPr="00AF4071">
            <w:rPr>
              <w:rFonts w:eastAsiaTheme="minorEastAsia"/>
              <w:noProof/>
              <w:szCs w:val="22"/>
              <w:lang w:eastAsia="sl-SI"/>
            </w:rPr>
            <w:tab/>
          </w:r>
          <w:r w:rsidRPr="00AF4071">
            <w:rPr>
              <w:rStyle w:val="Hiperpovezava"/>
              <w:rFonts w:ascii="Arial" w:hAnsi="Arial" w:cs="Arial"/>
              <w:smallCaps/>
              <w:noProof/>
              <w:color w:val="000000" w:themeColor="text1"/>
              <w:spacing w:val="5"/>
              <w:u w:val="none"/>
            </w:rPr>
            <w:t>NAMEN PRIPRAVE NACIONALNEGA PROGRAMA IN KLJUČNE USMERITVE</w:t>
          </w:r>
          <w:r w:rsidRPr="00AF4071">
            <w:rPr>
              <w:noProof/>
              <w:webHidden/>
            </w:rPr>
            <w:tab/>
            <w:t>11</w:t>
          </w:r>
        </w:p>
        <w:p w:rsidR="00233EDC" w:rsidRPr="00AF4071" w:rsidRDefault="00233EDC" w:rsidP="00427B9B">
          <w:pPr>
            <w:pStyle w:val="Kazalovsebine2"/>
            <w:tabs>
              <w:tab w:val="left" w:pos="880"/>
              <w:tab w:val="right" w:leader="dot" w:pos="9062"/>
            </w:tabs>
            <w:ind w:left="851" w:hanging="425"/>
            <w:rPr>
              <w:rFonts w:ascii="Arial" w:eastAsiaTheme="minorEastAsia" w:hAnsi="Arial" w:cs="Arial"/>
              <w:noProof/>
              <w:color w:val="000000" w:themeColor="text1"/>
              <w:szCs w:val="22"/>
              <w:lang w:eastAsia="sl-SI"/>
            </w:rPr>
          </w:pPr>
          <w:r w:rsidRPr="00AF4071">
            <w:rPr>
              <w:rStyle w:val="Hiperpovezava"/>
              <w:rFonts w:ascii="Arial" w:hAnsi="Arial" w:cs="Arial"/>
              <w:noProof/>
              <w:color w:val="000000" w:themeColor="text1"/>
              <w:u w:val="none"/>
            </w:rPr>
            <w:t>4.1</w:t>
          </w:r>
          <w:r w:rsidRPr="00AF4071">
            <w:rPr>
              <w:rFonts w:ascii="Arial" w:eastAsiaTheme="minorEastAsia" w:hAnsi="Arial" w:cs="Arial"/>
              <w:noProof/>
              <w:color w:val="000000" w:themeColor="text1"/>
              <w:szCs w:val="22"/>
              <w:lang w:eastAsia="sl-SI"/>
            </w:rPr>
            <w:tab/>
          </w:r>
          <w:r w:rsidRPr="00AF4071">
            <w:rPr>
              <w:rStyle w:val="Hiperpovezava"/>
              <w:rFonts w:ascii="Arial" w:hAnsi="Arial" w:cs="Arial"/>
              <w:noProof/>
              <w:color w:val="000000" w:themeColor="text1"/>
              <w:u w:val="none"/>
            </w:rPr>
            <w:t>Temeljna izhodišča Strategije razvoja prometa v RS, na katerih temelji Nacionalni program</w:t>
          </w:r>
          <w:r w:rsidRPr="00AF4071">
            <w:rPr>
              <w:rFonts w:ascii="Arial" w:hAnsi="Arial" w:cs="Arial"/>
              <w:noProof/>
              <w:webHidden/>
              <w:color w:val="000000" w:themeColor="text1"/>
            </w:rPr>
            <w:tab/>
            <w:t>11</w:t>
          </w:r>
        </w:p>
        <w:p w:rsidR="00233EDC" w:rsidRPr="00AF4071" w:rsidRDefault="00233EDC" w:rsidP="00427B9B">
          <w:pPr>
            <w:pStyle w:val="Kazalovsebine2"/>
            <w:tabs>
              <w:tab w:val="left" w:pos="880"/>
              <w:tab w:val="right" w:leader="dot" w:pos="9062"/>
            </w:tabs>
            <w:ind w:left="851" w:hanging="425"/>
            <w:rPr>
              <w:rFonts w:ascii="Arial" w:eastAsiaTheme="minorEastAsia" w:hAnsi="Arial" w:cs="Arial"/>
              <w:noProof/>
              <w:color w:val="000000" w:themeColor="text1"/>
              <w:szCs w:val="22"/>
              <w:lang w:eastAsia="sl-SI"/>
            </w:rPr>
          </w:pPr>
          <w:r w:rsidRPr="00AF4071">
            <w:rPr>
              <w:rStyle w:val="Hiperpovezava"/>
              <w:rFonts w:ascii="Arial" w:hAnsi="Arial" w:cs="Arial"/>
              <w:noProof/>
              <w:color w:val="000000" w:themeColor="text1"/>
              <w:u w:val="none"/>
            </w:rPr>
            <w:t>4.2.</w:t>
          </w:r>
          <w:r w:rsidRPr="00AF4071">
            <w:rPr>
              <w:rFonts w:ascii="Arial" w:eastAsiaTheme="minorEastAsia" w:hAnsi="Arial" w:cs="Arial"/>
              <w:noProof/>
              <w:color w:val="000000" w:themeColor="text1"/>
              <w:szCs w:val="22"/>
              <w:lang w:eastAsia="sl-SI"/>
            </w:rPr>
            <w:tab/>
          </w:r>
          <w:r w:rsidRPr="00AF4071">
            <w:rPr>
              <w:rStyle w:val="Hiperpovezava"/>
              <w:rFonts w:ascii="Arial" w:hAnsi="Arial" w:cs="Arial"/>
              <w:noProof/>
              <w:color w:val="000000" w:themeColor="text1"/>
              <w:u w:val="none"/>
            </w:rPr>
            <w:t>Poročilo o realizaciji Nacionalnega programa razvoja slovenske železniške infrastrukture (NPRSZI)</w:t>
          </w:r>
          <w:r w:rsidRPr="00AF4071">
            <w:rPr>
              <w:rFonts w:ascii="Arial" w:hAnsi="Arial" w:cs="Arial"/>
              <w:noProof/>
              <w:webHidden/>
              <w:color w:val="000000" w:themeColor="text1"/>
            </w:rPr>
            <w:tab/>
            <w:t>13</w:t>
          </w:r>
        </w:p>
        <w:p w:rsidR="00233EDC" w:rsidRPr="00AF4071" w:rsidRDefault="00233EDC" w:rsidP="00427B9B">
          <w:pPr>
            <w:pStyle w:val="Kazalovsebine3"/>
            <w:tabs>
              <w:tab w:val="left" w:pos="1320"/>
              <w:tab w:val="right" w:leader="dot" w:pos="9062"/>
            </w:tabs>
            <w:spacing w:after="0" w:line="240" w:lineRule="auto"/>
            <w:ind w:left="1560" w:hanging="709"/>
            <w:rPr>
              <w:rFonts w:ascii="Arial" w:hAnsi="Arial" w:cs="Arial"/>
              <w:noProof/>
              <w:color w:val="000000" w:themeColor="text1"/>
            </w:rPr>
          </w:pPr>
          <w:r w:rsidRPr="00AF4071">
            <w:rPr>
              <w:rStyle w:val="Hiperpovezava"/>
              <w:rFonts w:ascii="Arial" w:hAnsi="Arial" w:cs="Arial"/>
              <w:noProof/>
              <w:color w:val="000000" w:themeColor="text1"/>
              <w:u w:val="none"/>
            </w:rPr>
            <w:t>4.2.1</w:t>
          </w:r>
          <w:r w:rsidRPr="00AF4071">
            <w:rPr>
              <w:rFonts w:ascii="Arial" w:hAnsi="Arial" w:cs="Arial"/>
              <w:noProof/>
              <w:color w:val="000000" w:themeColor="text1"/>
            </w:rPr>
            <w:tab/>
          </w:r>
          <w:r w:rsidRPr="00AF4071">
            <w:rPr>
              <w:rStyle w:val="Hiperpovezava"/>
              <w:rFonts w:ascii="Arial" w:hAnsi="Arial" w:cs="Arial"/>
              <w:noProof/>
              <w:color w:val="000000" w:themeColor="text1"/>
              <w:u w:val="none"/>
            </w:rPr>
            <w:t>Obnova obstoječih prog</w:t>
          </w:r>
          <w:r w:rsidRPr="00AF4071">
            <w:rPr>
              <w:rFonts w:ascii="Arial" w:hAnsi="Arial" w:cs="Arial"/>
              <w:noProof/>
              <w:webHidden/>
              <w:color w:val="000000" w:themeColor="text1"/>
            </w:rPr>
            <w:tab/>
            <w:t>13</w:t>
          </w:r>
        </w:p>
        <w:p w:rsidR="00233EDC" w:rsidRPr="00AF4071" w:rsidRDefault="00233EDC" w:rsidP="00427B9B">
          <w:pPr>
            <w:pStyle w:val="Kazalovsebine3"/>
            <w:tabs>
              <w:tab w:val="left" w:pos="1320"/>
              <w:tab w:val="right" w:leader="dot" w:pos="9062"/>
            </w:tabs>
            <w:spacing w:after="0" w:line="240" w:lineRule="auto"/>
            <w:ind w:left="1560" w:hanging="709"/>
            <w:rPr>
              <w:rFonts w:ascii="Arial" w:hAnsi="Arial" w:cs="Arial"/>
              <w:noProof/>
              <w:color w:val="000000" w:themeColor="text1"/>
            </w:rPr>
          </w:pPr>
          <w:r w:rsidRPr="00AF4071">
            <w:rPr>
              <w:rStyle w:val="Hiperpovezava"/>
              <w:rFonts w:ascii="Arial" w:hAnsi="Arial" w:cs="Arial"/>
              <w:noProof/>
              <w:color w:val="000000" w:themeColor="text1"/>
              <w:u w:val="none"/>
            </w:rPr>
            <w:t>4.2.2</w:t>
          </w:r>
          <w:r w:rsidRPr="00AF4071">
            <w:rPr>
              <w:rFonts w:ascii="Arial" w:hAnsi="Arial" w:cs="Arial"/>
              <w:noProof/>
              <w:color w:val="000000" w:themeColor="text1"/>
            </w:rPr>
            <w:tab/>
          </w:r>
          <w:r w:rsidRPr="00AF4071">
            <w:rPr>
              <w:rStyle w:val="Hiperpovezava"/>
              <w:rFonts w:ascii="Arial" w:hAnsi="Arial" w:cs="Arial"/>
              <w:noProof/>
              <w:color w:val="000000" w:themeColor="text1"/>
              <w:u w:val="none"/>
            </w:rPr>
            <w:t>Dograditev obstoječih prog, gradnja novih prog in vozlišč</w:t>
          </w:r>
          <w:r w:rsidRPr="00AF4071">
            <w:rPr>
              <w:rFonts w:ascii="Arial" w:hAnsi="Arial" w:cs="Arial"/>
              <w:noProof/>
              <w:webHidden/>
              <w:color w:val="000000" w:themeColor="text1"/>
            </w:rPr>
            <w:tab/>
            <w:t>14</w:t>
          </w:r>
        </w:p>
        <w:p w:rsidR="00233EDC" w:rsidRPr="00AF4071" w:rsidRDefault="00233EDC" w:rsidP="00427B9B">
          <w:pPr>
            <w:pStyle w:val="Kazalovsebine3"/>
            <w:tabs>
              <w:tab w:val="left" w:pos="1320"/>
              <w:tab w:val="right" w:leader="dot" w:pos="9062"/>
            </w:tabs>
            <w:spacing w:after="0" w:line="240" w:lineRule="auto"/>
            <w:ind w:left="1560" w:hanging="709"/>
            <w:rPr>
              <w:rFonts w:ascii="Arial" w:hAnsi="Arial" w:cs="Arial"/>
              <w:noProof/>
              <w:color w:val="000000" w:themeColor="text1"/>
            </w:rPr>
          </w:pPr>
          <w:r w:rsidRPr="00AF4071">
            <w:rPr>
              <w:rStyle w:val="Hiperpovezava"/>
              <w:rFonts w:ascii="Arial" w:hAnsi="Arial" w:cs="Arial"/>
              <w:noProof/>
              <w:color w:val="000000" w:themeColor="text1"/>
              <w:u w:val="none"/>
            </w:rPr>
            <w:t>4.2.3</w:t>
          </w:r>
          <w:r w:rsidRPr="00AF4071">
            <w:rPr>
              <w:rFonts w:ascii="Arial" w:hAnsi="Arial" w:cs="Arial"/>
              <w:noProof/>
              <w:color w:val="000000" w:themeColor="text1"/>
            </w:rPr>
            <w:tab/>
          </w:r>
          <w:r w:rsidRPr="00AF4071">
            <w:rPr>
              <w:rStyle w:val="Hiperpovezava"/>
              <w:rFonts w:ascii="Arial" w:hAnsi="Arial" w:cs="Arial"/>
              <w:noProof/>
              <w:color w:val="000000" w:themeColor="text1"/>
              <w:u w:val="none"/>
            </w:rPr>
            <w:t>Gradnja prog za višje in visoke hitrosti</w:t>
          </w:r>
          <w:r w:rsidRPr="00AF4071">
            <w:rPr>
              <w:rFonts w:ascii="Arial" w:hAnsi="Arial" w:cs="Arial"/>
              <w:noProof/>
              <w:webHidden/>
              <w:color w:val="000000" w:themeColor="text1"/>
            </w:rPr>
            <w:tab/>
            <w:t>14</w:t>
          </w:r>
        </w:p>
        <w:p w:rsidR="00233EDC" w:rsidRPr="00AF4071" w:rsidRDefault="00233EDC" w:rsidP="00427B9B">
          <w:pPr>
            <w:pStyle w:val="Kazalovsebine3"/>
            <w:tabs>
              <w:tab w:val="left" w:pos="1320"/>
              <w:tab w:val="right" w:leader="dot" w:pos="9062"/>
            </w:tabs>
            <w:spacing w:after="0" w:line="240" w:lineRule="auto"/>
            <w:ind w:left="1560" w:hanging="709"/>
            <w:rPr>
              <w:rFonts w:ascii="Arial" w:hAnsi="Arial" w:cs="Arial"/>
              <w:noProof/>
              <w:color w:val="000000" w:themeColor="text1"/>
            </w:rPr>
          </w:pPr>
          <w:r w:rsidRPr="00AF4071">
            <w:rPr>
              <w:rStyle w:val="Hiperpovezava"/>
              <w:rFonts w:ascii="Arial" w:hAnsi="Arial" w:cs="Arial"/>
              <w:noProof/>
              <w:color w:val="000000" w:themeColor="text1"/>
              <w:u w:val="none"/>
            </w:rPr>
            <w:t>4.2.4</w:t>
          </w:r>
          <w:r w:rsidRPr="00AF4071">
            <w:rPr>
              <w:rFonts w:ascii="Arial" w:hAnsi="Arial" w:cs="Arial"/>
              <w:noProof/>
              <w:color w:val="000000" w:themeColor="text1"/>
            </w:rPr>
            <w:tab/>
          </w:r>
          <w:r w:rsidRPr="00AF4071">
            <w:rPr>
              <w:rStyle w:val="Hiperpovezava"/>
              <w:rFonts w:ascii="Arial" w:hAnsi="Arial" w:cs="Arial"/>
              <w:noProof/>
              <w:color w:val="000000" w:themeColor="text1"/>
              <w:u w:val="none"/>
            </w:rPr>
            <w:t>Zaključek</w:t>
          </w:r>
          <w:r w:rsidRPr="00AF4071">
            <w:rPr>
              <w:rFonts w:ascii="Arial" w:hAnsi="Arial" w:cs="Arial"/>
              <w:noProof/>
              <w:webHidden/>
              <w:color w:val="000000" w:themeColor="text1"/>
            </w:rPr>
            <w:tab/>
            <w:t>14</w:t>
          </w:r>
        </w:p>
        <w:p w:rsidR="00233EDC" w:rsidRPr="00AF4071" w:rsidRDefault="00233EDC" w:rsidP="004A7FBD">
          <w:pPr>
            <w:pStyle w:val="Kazalovsebine2"/>
            <w:tabs>
              <w:tab w:val="left" w:pos="880"/>
              <w:tab w:val="right" w:leader="dot" w:pos="9062"/>
            </w:tabs>
            <w:ind w:left="851" w:hanging="425"/>
            <w:rPr>
              <w:rFonts w:ascii="Arial" w:eastAsiaTheme="minorEastAsia" w:hAnsi="Arial" w:cs="Arial"/>
              <w:noProof/>
              <w:color w:val="000000" w:themeColor="text1"/>
              <w:szCs w:val="22"/>
              <w:lang w:eastAsia="sl-SI"/>
            </w:rPr>
          </w:pPr>
          <w:r w:rsidRPr="00AF4071">
            <w:rPr>
              <w:rStyle w:val="Hiperpovezava"/>
              <w:rFonts w:ascii="Arial" w:hAnsi="Arial" w:cs="Arial"/>
              <w:noProof/>
              <w:color w:val="000000" w:themeColor="text1"/>
              <w:u w:val="none"/>
            </w:rPr>
            <w:t>4.3</w:t>
          </w:r>
          <w:r w:rsidRPr="00AF4071">
            <w:rPr>
              <w:rFonts w:ascii="Arial" w:eastAsiaTheme="minorEastAsia" w:hAnsi="Arial" w:cs="Arial"/>
              <w:noProof/>
              <w:color w:val="000000" w:themeColor="text1"/>
              <w:szCs w:val="22"/>
              <w:lang w:eastAsia="sl-SI"/>
            </w:rPr>
            <w:tab/>
          </w:r>
          <w:r w:rsidRPr="00AF4071">
            <w:rPr>
              <w:rStyle w:val="Hiperpovezava"/>
              <w:rFonts w:ascii="Arial" w:hAnsi="Arial" w:cs="Arial"/>
              <w:noProof/>
              <w:color w:val="000000" w:themeColor="text1"/>
              <w:u w:val="none"/>
            </w:rPr>
            <w:t>Poročilo o realizaciji Nacionalnega programa izgradnje avtocest v Republiki Sloveniji (NPIA)</w:t>
          </w:r>
          <w:r w:rsidRPr="00AF4071">
            <w:rPr>
              <w:rFonts w:ascii="Arial" w:hAnsi="Arial" w:cs="Arial"/>
              <w:noProof/>
              <w:webHidden/>
              <w:color w:val="000000" w:themeColor="text1"/>
            </w:rPr>
            <w:tab/>
            <w:t>15</w:t>
          </w:r>
        </w:p>
        <w:p w:rsidR="00233EDC" w:rsidRPr="00AF4071" w:rsidRDefault="00233EDC" w:rsidP="004A7FBD">
          <w:pPr>
            <w:pStyle w:val="Kazalovsebine2"/>
            <w:tabs>
              <w:tab w:val="left" w:pos="880"/>
              <w:tab w:val="right" w:leader="dot" w:pos="9062"/>
            </w:tabs>
            <w:ind w:left="851" w:hanging="425"/>
            <w:rPr>
              <w:rFonts w:ascii="Arial" w:eastAsiaTheme="minorEastAsia" w:hAnsi="Arial" w:cs="Arial"/>
              <w:noProof/>
              <w:color w:val="000000" w:themeColor="text1"/>
              <w:szCs w:val="22"/>
              <w:lang w:eastAsia="sl-SI"/>
            </w:rPr>
          </w:pPr>
          <w:r w:rsidRPr="00AF4071">
            <w:rPr>
              <w:rStyle w:val="Hiperpovezava"/>
              <w:rFonts w:ascii="Arial" w:hAnsi="Arial" w:cs="Arial"/>
              <w:noProof/>
              <w:color w:val="000000" w:themeColor="text1"/>
              <w:u w:val="none"/>
            </w:rPr>
            <w:t>4.4</w:t>
          </w:r>
          <w:r w:rsidRPr="00AF4071">
            <w:rPr>
              <w:rFonts w:ascii="Arial" w:eastAsiaTheme="minorEastAsia" w:hAnsi="Arial" w:cs="Arial"/>
              <w:noProof/>
              <w:color w:val="000000" w:themeColor="text1"/>
              <w:szCs w:val="22"/>
              <w:lang w:eastAsia="sl-SI"/>
            </w:rPr>
            <w:tab/>
          </w:r>
          <w:r w:rsidRPr="00AF4071">
            <w:rPr>
              <w:rStyle w:val="Hiperpovezava"/>
              <w:rFonts w:ascii="Arial" w:hAnsi="Arial" w:cs="Arial"/>
              <w:noProof/>
              <w:color w:val="000000" w:themeColor="text1"/>
              <w:u w:val="none"/>
            </w:rPr>
            <w:t>Poročilo o realizaciji Resolucije o nacionalnem programu razvoja pomorstva Republike Slovenije</w:t>
          </w:r>
          <w:r w:rsidRPr="00AF4071">
            <w:rPr>
              <w:rFonts w:ascii="Arial" w:hAnsi="Arial" w:cs="Arial"/>
              <w:noProof/>
              <w:webHidden/>
              <w:color w:val="000000" w:themeColor="text1"/>
            </w:rPr>
            <w:tab/>
            <w:t>16</w:t>
          </w:r>
        </w:p>
        <w:p w:rsidR="00233EDC" w:rsidRPr="00AF4071" w:rsidRDefault="00233EDC" w:rsidP="004A7FBD">
          <w:pPr>
            <w:pStyle w:val="Kazalovsebine2"/>
            <w:tabs>
              <w:tab w:val="left" w:pos="880"/>
              <w:tab w:val="right" w:leader="dot" w:pos="9062"/>
            </w:tabs>
            <w:ind w:left="851" w:hanging="425"/>
            <w:rPr>
              <w:rFonts w:ascii="Arial" w:eastAsiaTheme="minorEastAsia" w:hAnsi="Arial" w:cs="Arial"/>
              <w:noProof/>
              <w:color w:val="000000" w:themeColor="text1"/>
              <w:szCs w:val="22"/>
              <w:lang w:eastAsia="sl-SI"/>
            </w:rPr>
          </w:pPr>
          <w:r w:rsidRPr="00AF4071">
            <w:rPr>
              <w:rStyle w:val="Hiperpovezava"/>
              <w:rFonts w:ascii="Arial" w:hAnsi="Arial" w:cs="Arial"/>
              <w:noProof/>
              <w:color w:val="000000" w:themeColor="text1"/>
              <w:u w:val="none"/>
            </w:rPr>
            <w:t>4.5</w:t>
          </w:r>
          <w:r w:rsidRPr="00AF4071">
            <w:rPr>
              <w:rFonts w:ascii="Arial" w:eastAsiaTheme="minorEastAsia" w:hAnsi="Arial" w:cs="Arial"/>
              <w:noProof/>
              <w:color w:val="000000" w:themeColor="text1"/>
              <w:szCs w:val="22"/>
              <w:lang w:eastAsia="sl-SI"/>
            </w:rPr>
            <w:tab/>
          </w:r>
          <w:r w:rsidRPr="00AF4071">
            <w:rPr>
              <w:rStyle w:val="Hiperpovezava"/>
              <w:rFonts w:ascii="Arial" w:hAnsi="Arial" w:cs="Arial"/>
              <w:noProof/>
              <w:color w:val="000000" w:themeColor="text1"/>
              <w:u w:val="none"/>
            </w:rPr>
            <w:t>Poročilo o izvajanju Resolucije o Nacionalnem programu razvoja civilnega letalstva Republike Slovenije do leta 2020 (Uradni list RS, št. 9/10) v delu, ki se nanaša na javna letališča</w:t>
          </w:r>
          <w:r w:rsidRPr="00AF4071">
            <w:rPr>
              <w:rFonts w:ascii="Arial" w:hAnsi="Arial" w:cs="Arial"/>
              <w:noProof/>
              <w:webHidden/>
              <w:color w:val="000000" w:themeColor="text1"/>
            </w:rPr>
            <w:tab/>
            <w:t>17</w:t>
          </w:r>
        </w:p>
        <w:p w:rsidR="00233EDC" w:rsidRPr="00AF4071" w:rsidRDefault="00233EDC" w:rsidP="004A7FBD">
          <w:pPr>
            <w:pStyle w:val="Kazalovsebine3"/>
            <w:tabs>
              <w:tab w:val="left" w:pos="1320"/>
              <w:tab w:val="right" w:leader="dot" w:pos="9062"/>
            </w:tabs>
            <w:spacing w:after="0" w:line="240" w:lineRule="auto"/>
            <w:ind w:left="1560" w:hanging="709"/>
            <w:rPr>
              <w:rFonts w:ascii="Arial" w:hAnsi="Arial" w:cs="Arial"/>
              <w:noProof/>
              <w:color w:val="000000" w:themeColor="text1"/>
            </w:rPr>
          </w:pPr>
          <w:r w:rsidRPr="00AF4071">
            <w:rPr>
              <w:rStyle w:val="Hiperpovezava"/>
              <w:rFonts w:ascii="Arial" w:hAnsi="Arial" w:cs="Arial"/>
              <w:noProof/>
              <w:color w:val="000000" w:themeColor="text1"/>
              <w:u w:val="none"/>
            </w:rPr>
            <w:t>4.5.1</w:t>
          </w:r>
          <w:r w:rsidRPr="00AF4071">
            <w:rPr>
              <w:rFonts w:ascii="Arial" w:hAnsi="Arial" w:cs="Arial"/>
              <w:noProof/>
              <w:color w:val="000000" w:themeColor="text1"/>
            </w:rPr>
            <w:tab/>
          </w:r>
          <w:r w:rsidRPr="00AF4071">
            <w:rPr>
              <w:rStyle w:val="Hiperpovezava"/>
              <w:rFonts w:ascii="Arial" w:hAnsi="Arial" w:cs="Arial"/>
              <w:noProof/>
              <w:color w:val="000000" w:themeColor="text1"/>
              <w:u w:val="none"/>
            </w:rPr>
            <w:t>Razvoj letališč</w:t>
          </w:r>
          <w:r w:rsidRPr="00AF4071">
            <w:rPr>
              <w:rFonts w:ascii="Arial" w:hAnsi="Arial" w:cs="Arial"/>
              <w:noProof/>
              <w:webHidden/>
              <w:color w:val="000000" w:themeColor="text1"/>
            </w:rPr>
            <w:tab/>
            <w:t>17</w:t>
          </w:r>
        </w:p>
        <w:p w:rsidR="00233EDC" w:rsidRPr="00AF4071" w:rsidRDefault="00233EDC" w:rsidP="004A7FBD">
          <w:pPr>
            <w:pStyle w:val="Kazalovsebine3"/>
            <w:tabs>
              <w:tab w:val="left" w:pos="1320"/>
              <w:tab w:val="right" w:leader="dot" w:pos="9062"/>
            </w:tabs>
            <w:spacing w:after="0" w:line="240" w:lineRule="auto"/>
            <w:ind w:left="1560" w:hanging="709"/>
            <w:rPr>
              <w:rFonts w:ascii="Arial" w:hAnsi="Arial" w:cs="Arial"/>
              <w:noProof/>
              <w:color w:val="000000" w:themeColor="text1"/>
            </w:rPr>
          </w:pPr>
          <w:r w:rsidRPr="00AF4071">
            <w:rPr>
              <w:rStyle w:val="Hiperpovezava"/>
              <w:rFonts w:ascii="Arial" w:hAnsi="Arial" w:cs="Arial"/>
              <w:noProof/>
              <w:color w:val="000000" w:themeColor="text1"/>
              <w:u w:val="none"/>
            </w:rPr>
            <w:t>4.5.2</w:t>
          </w:r>
          <w:r w:rsidRPr="00AF4071">
            <w:rPr>
              <w:rFonts w:ascii="Arial" w:hAnsi="Arial" w:cs="Arial"/>
              <w:noProof/>
              <w:color w:val="000000" w:themeColor="text1"/>
            </w:rPr>
            <w:tab/>
          </w:r>
          <w:r w:rsidRPr="00AF4071">
            <w:rPr>
              <w:rStyle w:val="Hiperpovezava"/>
              <w:rFonts w:ascii="Arial" w:hAnsi="Arial" w:cs="Arial"/>
              <w:noProof/>
              <w:color w:val="000000" w:themeColor="text1"/>
              <w:u w:val="none"/>
            </w:rPr>
            <w:t>Gradnja železniške povezave do Letališča Jožeta Pučnika Ljubljana</w:t>
          </w:r>
          <w:r w:rsidRPr="00AF4071">
            <w:rPr>
              <w:rFonts w:ascii="Arial" w:hAnsi="Arial" w:cs="Arial"/>
              <w:noProof/>
              <w:webHidden/>
              <w:color w:val="000000" w:themeColor="text1"/>
            </w:rPr>
            <w:tab/>
            <w:t>19</w:t>
          </w:r>
        </w:p>
        <w:p w:rsidR="00233EDC" w:rsidRPr="00AF4071" w:rsidRDefault="00233EDC" w:rsidP="00AF4071">
          <w:pPr>
            <w:pStyle w:val="Kazalovsebine1"/>
            <w:rPr>
              <w:rFonts w:eastAsiaTheme="minorEastAsia"/>
              <w:noProof/>
              <w:szCs w:val="22"/>
              <w:lang w:eastAsia="sl-SI"/>
            </w:rPr>
          </w:pPr>
          <w:r w:rsidRPr="00AF4071">
            <w:rPr>
              <w:rStyle w:val="Hiperpovezava"/>
              <w:rFonts w:ascii="Arial" w:hAnsi="Arial" w:cs="Arial"/>
              <w:smallCaps/>
              <w:noProof/>
              <w:color w:val="000000" w:themeColor="text1"/>
              <w:spacing w:val="5"/>
              <w:u w:val="none"/>
            </w:rPr>
            <w:t>5.</w:t>
          </w:r>
          <w:r w:rsidRPr="00AF4071">
            <w:rPr>
              <w:rFonts w:eastAsiaTheme="minorEastAsia"/>
              <w:noProof/>
              <w:szCs w:val="22"/>
              <w:lang w:eastAsia="sl-SI"/>
            </w:rPr>
            <w:tab/>
          </w:r>
          <w:r w:rsidRPr="00AF4071">
            <w:rPr>
              <w:rStyle w:val="Hiperpovezava"/>
              <w:rFonts w:ascii="Arial" w:hAnsi="Arial" w:cs="Arial"/>
              <w:smallCaps/>
              <w:noProof/>
              <w:color w:val="000000" w:themeColor="text1"/>
              <w:spacing w:val="5"/>
              <w:u w:val="none"/>
            </w:rPr>
            <w:t>VSEBINA NACIONALNEGA PROGRAMA</w:t>
          </w:r>
          <w:r w:rsidRPr="00AF4071">
            <w:rPr>
              <w:noProof/>
              <w:webHidden/>
            </w:rPr>
            <w:tab/>
            <w:t>20</w:t>
          </w:r>
        </w:p>
        <w:p w:rsidR="00233EDC" w:rsidRPr="00AF4071" w:rsidRDefault="00233EDC" w:rsidP="00943B60">
          <w:pPr>
            <w:pStyle w:val="Kazalovsebine2"/>
            <w:tabs>
              <w:tab w:val="left" w:pos="880"/>
              <w:tab w:val="right" w:leader="dot" w:pos="9062"/>
            </w:tabs>
            <w:ind w:left="851" w:hanging="425"/>
            <w:rPr>
              <w:rFonts w:ascii="Arial" w:eastAsiaTheme="minorEastAsia" w:hAnsi="Arial" w:cs="Arial"/>
              <w:noProof/>
              <w:color w:val="000000" w:themeColor="text1"/>
              <w:szCs w:val="22"/>
              <w:lang w:eastAsia="sl-SI"/>
            </w:rPr>
          </w:pPr>
          <w:r w:rsidRPr="00AF4071">
            <w:rPr>
              <w:rStyle w:val="Hiperpovezava"/>
              <w:rFonts w:ascii="Arial" w:hAnsi="Arial" w:cs="Arial"/>
              <w:noProof/>
              <w:color w:val="000000" w:themeColor="text1"/>
              <w:u w:val="none"/>
            </w:rPr>
            <w:t>5.1</w:t>
          </w:r>
          <w:r w:rsidRPr="00AF4071">
            <w:rPr>
              <w:rFonts w:ascii="Arial" w:eastAsiaTheme="minorEastAsia" w:hAnsi="Arial" w:cs="Arial"/>
              <w:noProof/>
              <w:color w:val="000000" w:themeColor="text1"/>
              <w:szCs w:val="22"/>
              <w:lang w:eastAsia="sl-SI"/>
            </w:rPr>
            <w:tab/>
          </w:r>
          <w:r w:rsidRPr="00AF4071">
            <w:rPr>
              <w:rStyle w:val="Hiperpovezava"/>
              <w:rFonts w:ascii="Arial" w:hAnsi="Arial" w:cs="Arial"/>
              <w:noProof/>
              <w:color w:val="000000" w:themeColor="text1"/>
              <w:u w:val="none"/>
            </w:rPr>
            <w:t>Ceste</w:t>
          </w:r>
          <w:r w:rsidRPr="00AF4071">
            <w:rPr>
              <w:rFonts w:ascii="Arial" w:hAnsi="Arial" w:cs="Arial"/>
              <w:noProof/>
              <w:webHidden/>
              <w:color w:val="000000" w:themeColor="text1"/>
            </w:rPr>
            <w:tab/>
            <w:t>24</w:t>
          </w:r>
        </w:p>
        <w:p w:rsidR="00233EDC" w:rsidRPr="00AF4071" w:rsidRDefault="00233EDC" w:rsidP="00943B60">
          <w:pPr>
            <w:pStyle w:val="Kazalovsebine2"/>
            <w:tabs>
              <w:tab w:val="left" w:pos="880"/>
              <w:tab w:val="right" w:leader="dot" w:pos="9062"/>
            </w:tabs>
            <w:ind w:left="851" w:hanging="425"/>
            <w:rPr>
              <w:rFonts w:ascii="Arial" w:eastAsiaTheme="minorEastAsia" w:hAnsi="Arial" w:cs="Arial"/>
              <w:noProof/>
              <w:color w:val="000000" w:themeColor="text1"/>
              <w:szCs w:val="22"/>
              <w:lang w:eastAsia="sl-SI"/>
            </w:rPr>
          </w:pPr>
          <w:r w:rsidRPr="00AF4071">
            <w:rPr>
              <w:rStyle w:val="Hiperpovezava"/>
              <w:rFonts w:ascii="Arial" w:hAnsi="Arial" w:cs="Arial"/>
              <w:noProof/>
              <w:color w:val="000000" w:themeColor="text1"/>
              <w:u w:val="none"/>
            </w:rPr>
            <w:t>5.2</w:t>
          </w:r>
          <w:r w:rsidRPr="00AF4071">
            <w:rPr>
              <w:rFonts w:ascii="Arial" w:eastAsiaTheme="minorEastAsia" w:hAnsi="Arial" w:cs="Arial"/>
              <w:noProof/>
              <w:color w:val="000000" w:themeColor="text1"/>
              <w:szCs w:val="22"/>
              <w:lang w:eastAsia="sl-SI"/>
            </w:rPr>
            <w:tab/>
          </w:r>
          <w:r w:rsidRPr="00AF4071">
            <w:rPr>
              <w:rStyle w:val="Hiperpovezava"/>
              <w:rFonts w:ascii="Arial" w:hAnsi="Arial" w:cs="Arial"/>
              <w:noProof/>
              <w:color w:val="000000" w:themeColor="text1"/>
              <w:u w:val="none"/>
            </w:rPr>
            <w:t>Železnice</w:t>
          </w:r>
          <w:r w:rsidRPr="00AF4071">
            <w:rPr>
              <w:rFonts w:ascii="Arial" w:hAnsi="Arial" w:cs="Arial"/>
              <w:noProof/>
              <w:webHidden/>
              <w:color w:val="000000" w:themeColor="text1"/>
            </w:rPr>
            <w:tab/>
            <w:t>30</w:t>
          </w:r>
        </w:p>
        <w:p w:rsidR="00233EDC" w:rsidRPr="00AF4071" w:rsidRDefault="00233EDC" w:rsidP="00943B60">
          <w:pPr>
            <w:pStyle w:val="Kazalovsebine2"/>
            <w:tabs>
              <w:tab w:val="left" w:pos="880"/>
              <w:tab w:val="right" w:leader="dot" w:pos="9062"/>
            </w:tabs>
            <w:ind w:left="851" w:hanging="425"/>
            <w:rPr>
              <w:rFonts w:ascii="Arial" w:eastAsiaTheme="minorEastAsia" w:hAnsi="Arial" w:cs="Arial"/>
              <w:noProof/>
              <w:color w:val="000000" w:themeColor="text1"/>
              <w:szCs w:val="22"/>
              <w:lang w:eastAsia="sl-SI"/>
            </w:rPr>
          </w:pPr>
          <w:r w:rsidRPr="00AF4071">
            <w:rPr>
              <w:rStyle w:val="Hiperpovezava"/>
              <w:rFonts w:ascii="Arial" w:hAnsi="Arial" w:cs="Arial"/>
              <w:noProof/>
              <w:color w:val="000000" w:themeColor="text1"/>
              <w:u w:val="none"/>
            </w:rPr>
            <w:t>5.3</w:t>
          </w:r>
          <w:r w:rsidRPr="00AF4071">
            <w:rPr>
              <w:rFonts w:ascii="Arial" w:eastAsiaTheme="minorEastAsia" w:hAnsi="Arial" w:cs="Arial"/>
              <w:noProof/>
              <w:color w:val="000000" w:themeColor="text1"/>
              <w:szCs w:val="22"/>
              <w:lang w:eastAsia="sl-SI"/>
            </w:rPr>
            <w:tab/>
          </w:r>
          <w:r w:rsidRPr="00AF4071">
            <w:rPr>
              <w:rStyle w:val="Hiperpovezava"/>
              <w:rFonts w:ascii="Arial" w:hAnsi="Arial" w:cs="Arial"/>
              <w:noProof/>
              <w:color w:val="000000" w:themeColor="text1"/>
              <w:u w:val="none"/>
            </w:rPr>
            <w:t>Trajnostna mobilnost</w:t>
          </w:r>
          <w:r w:rsidRPr="00AF4071">
            <w:rPr>
              <w:rFonts w:ascii="Arial" w:hAnsi="Arial" w:cs="Arial"/>
              <w:noProof/>
              <w:webHidden/>
              <w:color w:val="000000" w:themeColor="text1"/>
            </w:rPr>
            <w:tab/>
            <w:t>33</w:t>
          </w:r>
        </w:p>
        <w:p w:rsidR="00233EDC" w:rsidRPr="00AF4071" w:rsidRDefault="00233EDC" w:rsidP="00943B60">
          <w:pPr>
            <w:pStyle w:val="Kazalovsebine2"/>
            <w:tabs>
              <w:tab w:val="left" w:pos="880"/>
              <w:tab w:val="right" w:leader="dot" w:pos="9062"/>
            </w:tabs>
            <w:ind w:left="851" w:hanging="425"/>
            <w:rPr>
              <w:rFonts w:ascii="Arial" w:eastAsiaTheme="minorEastAsia" w:hAnsi="Arial" w:cs="Arial"/>
              <w:noProof/>
              <w:color w:val="000000" w:themeColor="text1"/>
              <w:szCs w:val="22"/>
              <w:lang w:eastAsia="sl-SI"/>
            </w:rPr>
          </w:pPr>
          <w:r w:rsidRPr="00AF4071">
            <w:rPr>
              <w:rStyle w:val="Hiperpovezava"/>
              <w:rFonts w:ascii="Arial" w:hAnsi="Arial" w:cs="Arial"/>
              <w:noProof/>
              <w:color w:val="000000" w:themeColor="text1"/>
              <w:u w:val="none"/>
            </w:rPr>
            <w:t>5.4</w:t>
          </w:r>
          <w:r w:rsidRPr="00AF4071">
            <w:rPr>
              <w:rFonts w:ascii="Arial" w:eastAsiaTheme="minorEastAsia" w:hAnsi="Arial" w:cs="Arial"/>
              <w:noProof/>
              <w:color w:val="000000" w:themeColor="text1"/>
              <w:szCs w:val="22"/>
              <w:lang w:eastAsia="sl-SI"/>
            </w:rPr>
            <w:tab/>
          </w:r>
          <w:r w:rsidRPr="00AF4071">
            <w:rPr>
              <w:rStyle w:val="Hiperpovezava"/>
              <w:rFonts w:ascii="Arial" w:hAnsi="Arial" w:cs="Arial"/>
              <w:noProof/>
              <w:color w:val="000000" w:themeColor="text1"/>
              <w:u w:val="none"/>
            </w:rPr>
            <w:t>Vodni promet</w:t>
          </w:r>
          <w:r w:rsidRPr="00AF4071">
            <w:rPr>
              <w:rFonts w:ascii="Arial" w:hAnsi="Arial" w:cs="Arial"/>
              <w:noProof/>
              <w:webHidden/>
              <w:color w:val="000000" w:themeColor="text1"/>
            </w:rPr>
            <w:tab/>
            <w:t>35</w:t>
          </w:r>
        </w:p>
        <w:p w:rsidR="00233EDC" w:rsidRPr="00AF4071" w:rsidRDefault="00233EDC" w:rsidP="00943B60">
          <w:pPr>
            <w:pStyle w:val="Kazalovsebine2"/>
            <w:tabs>
              <w:tab w:val="left" w:pos="880"/>
              <w:tab w:val="right" w:leader="dot" w:pos="9062"/>
            </w:tabs>
            <w:ind w:left="851" w:hanging="425"/>
            <w:rPr>
              <w:rFonts w:ascii="Arial" w:eastAsiaTheme="minorEastAsia" w:hAnsi="Arial" w:cs="Arial"/>
              <w:noProof/>
              <w:color w:val="000000" w:themeColor="text1"/>
              <w:szCs w:val="22"/>
              <w:lang w:eastAsia="sl-SI"/>
            </w:rPr>
          </w:pPr>
          <w:r w:rsidRPr="00AF4071">
            <w:rPr>
              <w:rStyle w:val="Hiperpovezava"/>
              <w:rFonts w:ascii="Arial" w:hAnsi="Arial" w:cs="Arial"/>
              <w:noProof/>
              <w:color w:val="000000" w:themeColor="text1"/>
              <w:u w:val="none"/>
            </w:rPr>
            <w:t>5.5</w:t>
          </w:r>
          <w:r w:rsidRPr="00AF4071">
            <w:rPr>
              <w:rFonts w:ascii="Arial" w:eastAsiaTheme="minorEastAsia" w:hAnsi="Arial" w:cs="Arial"/>
              <w:noProof/>
              <w:color w:val="000000" w:themeColor="text1"/>
              <w:szCs w:val="22"/>
              <w:lang w:eastAsia="sl-SI"/>
            </w:rPr>
            <w:tab/>
          </w:r>
          <w:r w:rsidRPr="00AF4071">
            <w:rPr>
              <w:rStyle w:val="Hiperpovezava"/>
              <w:rFonts w:ascii="Arial" w:hAnsi="Arial" w:cs="Arial"/>
              <w:noProof/>
              <w:color w:val="000000" w:themeColor="text1"/>
              <w:u w:val="none"/>
            </w:rPr>
            <w:t>Zračni promet</w:t>
          </w:r>
          <w:r w:rsidRPr="00AF4071">
            <w:rPr>
              <w:rFonts w:ascii="Arial" w:hAnsi="Arial" w:cs="Arial"/>
              <w:noProof/>
              <w:webHidden/>
              <w:color w:val="000000" w:themeColor="text1"/>
            </w:rPr>
            <w:tab/>
            <w:t>36</w:t>
          </w:r>
        </w:p>
        <w:p w:rsidR="00233EDC" w:rsidRPr="00AF4071" w:rsidRDefault="00233EDC" w:rsidP="00AF4071">
          <w:pPr>
            <w:pStyle w:val="Kazalovsebine1"/>
            <w:rPr>
              <w:rFonts w:eastAsiaTheme="minorEastAsia"/>
              <w:noProof/>
              <w:szCs w:val="22"/>
              <w:lang w:eastAsia="sl-SI"/>
            </w:rPr>
          </w:pPr>
          <w:r w:rsidRPr="00AF4071">
            <w:rPr>
              <w:rStyle w:val="Hiperpovezava"/>
              <w:rFonts w:ascii="Arial" w:hAnsi="Arial" w:cs="Arial"/>
              <w:smallCaps/>
              <w:noProof/>
              <w:color w:val="000000" w:themeColor="text1"/>
              <w:spacing w:val="5"/>
              <w:u w:val="none"/>
            </w:rPr>
            <w:t>6.</w:t>
          </w:r>
          <w:r w:rsidRPr="00AF4071">
            <w:rPr>
              <w:rFonts w:eastAsiaTheme="minorEastAsia"/>
              <w:noProof/>
              <w:szCs w:val="22"/>
              <w:lang w:eastAsia="sl-SI"/>
            </w:rPr>
            <w:tab/>
          </w:r>
          <w:r w:rsidRPr="00AF4071">
            <w:rPr>
              <w:rStyle w:val="Hiperpovezava"/>
              <w:rFonts w:ascii="Arial" w:hAnsi="Arial" w:cs="Arial"/>
              <w:smallCaps/>
              <w:noProof/>
              <w:color w:val="000000" w:themeColor="text1"/>
              <w:spacing w:val="5"/>
              <w:u w:val="none"/>
            </w:rPr>
            <w:t>FINANCIRANJE AKTIVNOSTI</w:t>
          </w:r>
          <w:r w:rsidRPr="00AF4071">
            <w:rPr>
              <w:noProof/>
              <w:webHidden/>
            </w:rPr>
            <w:tab/>
            <w:t>37</w:t>
          </w:r>
        </w:p>
        <w:p w:rsidR="00233EDC" w:rsidRPr="00AF4071" w:rsidRDefault="00233EDC" w:rsidP="004A7FBD">
          <w:pPr>
            <w:pStyle w:val="Kazalovsebine2"/>
            <w:tabs>
              <w:tab w:val="left" w:pos="880"/>
              <w:tab w:val="right" w:leader="dot" w:pos="9062"/>
            </w:tabs>
            <w:ind w:left="851" w:hanging="425"/>
            <w:rPr>
              <w:rFonts w:ascii="Arial" w:eastAsiaTheme="minorEastAsia" w:hAnsi="Arial" w:cs="Arial"/>
              <w:noProof/>
              <w:color w:val="000000" w:themeColor="text1"/>
              <w:szCs w:val="22"/>
              <w:lang w:eastAsia="sl-SI"/>
            </w:rPr>
          </w:pPr>
          <w:r w:rsidRPr="00AF4071">
            <w:rPr>
              <w:rStyle w:val="Hiperpovezava"/>
              <w:rFonts w:ascii="Arial" w:hAnsi="Arial" w:cs="Arial"/>
              <w:noProof/>
              <w:color w:val="000000" w:themeColor="text1"/>
              <w:u w:val="none"/>
              <w:lang w:eastAsia="sl-SI"/>
            </w:rPr>
            <w:t>6.1</w:t>
          </w:r>
          <w:r w:rsidRPr="00AF4071">
            <w:rPr>
              <w:rFonts w:ascii="Arial" w:eastAsiaTheme="minorEastAsia" w:hAnsi="Arial" w:cs="Arial"/>
              <w:noProof/>
              <w:color w:val="000000" w:themeColor="text1"/>
              <w:szCs w:val="22"/>
              <w:lang w:eastAsia="sl-SI"/>
            </w:rPr>
            <w:tab/>
          </w:r>
          <w:r w:rsidRPr="00AF4071">
            <w:rPr>
              <w:rStyle w:val="Hiperpovezava"/>
              <w:rFonts w:ascii="Arial" w:hAnsi="Arial" w:cs="Arial"/>
              <w:noProof/>
              <w:color w:val="000000" w:themeColor="text1"/>
              <w:u w:val="none"/>
              <w:lang w:eastAsia="sl-SI"/>
            </w:rPr>
            <w:t>Proračunska sredstva</w:t>
          </w:r>
          <w:r w:rsidRPr="00AF4071">
            <w:rPr>
              <w:rFonts w:ascii="Arial" w:hAnsi="Arial" w:cs="Arial"/>
              <w:noProof/>
              <w:webHidden/>
              <w:color w:val="000000" w:themeColor="text1"/>
            </w:rPr>
            <w:tab/>
            <w:t>37</w:t>
          </w:r>
        </w:p>
        <w:p w:rsidR="00233EDC" w:rsidRPr="00AF4071" w:rsidRDefault="00233EDC" w:rsidP="004A7FBD">
          <w:pPr>
            <w:pStyle w:val="Kazalovsebine2"/>
            <w:tabs>
              <w:tab w:val="left" w:pos="880"/>
              <w:tab w:val="right" w:leader="dot" w:pos="9062"/>
            </w:tabs>
            <w:ind w:left="851" w:hanging="425"/>
            <w:rPr>
              <w:rFonts w:ascii="Arial" w:eastAsiaTheme="minorEastAsia" w:hAnsi="Arial" w:cs="Arial"/>
              <w:noProof/>
              <w:color w:val="000000" w:themeColor="text1"/>
              <w:szCs w:val="22"/>
              <w:lang w:eastAsia="sl-SI"/>
            </w:rPr>
          </w:pPr>
          <w:r w:rsidRPr="00AF4071">
            <w:rPr>
              <w:rStyle w:val="Hiperpovezava"/>
              <w:rFonts w:ascii="Arial" w:hAnsi="Arial" w:cs="Arial"/>
              <w:noProof/>
              <w:color w:val="000000" w:themeColor="text1"/>
              <w:u w:val="none"/>
              <w:lang w:eastAsia="sl-SI"/>
            </w:rPr>
            <w:t>6.2</w:t>
          </w:r>
          <w:r w:rsidRPr="00AF4071">
            <w:rPr>
              <w:rFonts w:ascii="Arial" w:eastAsiaTheme="minorEastAsia" w:hAnsi="Arial" w:cs="Arial"/>
              <w:noProof/>
              <w:color w:val="000000" w:themeColor="text1"/>
              <w:szCs w:val="22"/>
              <w:lang w:eastAsia="sl-SI"/>
            </w:rPr>
            <w:tab/>
          </w:r>
          <w:r w:rsidRPr="00AF4071">
            <w:rPr>
              <w:rStyle w:val="Hiperpovezava"/>
              <w:rFonts w:ascii="Arial" w:hAnsi="Arial" w:cs="Arial"/>
              <w:noProof/>
              <w:color w:val="000000" w:themeColor="text1"/>
              <w:u w:val="none"/>
              <w:lang w:eastAsia="sl-SI"/>
            </w:rPr>
            <w:t>EU sredstva</w:t>
          </w:r>
          <w:r w:rsidRPr="00AF4071">
            <w:rPr>
              <w:rFonts w:ascii="Arial" w:hAnsi="Arial" w:cs="Arial"/>
              <w:noProof/>
              <w:webHidden/>
              <w:color w:val="000000" w:themeColor="text1"/>
            </w:rPr>
            <w:tab/>
            <w:t>37</w:t>
          </w:r>
        </w:p>
        <w:p w:rsidR="00233EDC" w:rsidRPr="00AF4071" w:rsidRDefault="00233EDC" w:rsidP="004A7FBD">
          <w:pPr>
            <w:pStyle w:val="Kazalovsebine2"/>
            <w:tabs>
              <w:tab w:val="left" w:pos="880"/>
              <w:tab w:val="right" w:leader="dot" w:pos="9062"/>
            </w:tabs>
            <w:ind w:left="851" w:hanging="425"/>
            <w:rPr>
              <w:rFonts w:ascii="Arial" w:eastAsiaTheme="minorEastAsia" w:hAnsi="Arial" w:cs="Arial"/>
              <w:noProof/>
              <w:color w:val="000000" w:themeColor="text1"/>
              <w:szCs w:val="22"/>
              <w:lang w:eastAsia="sl-SI"/>
            </w:rPr>
          </w:pPr>
          <w:r w:rsidRPr="00AF4071">
            <w:rPr>
              <w:rStyle w:val="Hiperpovezava"/>
              <w:rFonts w:ascii="Arial" w:hAnsi="Arial" w:cs="Arial"/>
              <w:noProof/>
              <w:color w:val="000000" w:themeColor="text1"/>
              <w:u w:val="none"/>
              <w:lang w:eastAsia="sl-SI"/>
            </w:rPr>
            <w:t>6.3</w:t>
          </w:r>
          <w:r w:rsidRPr="00AF4071">
            <w:rPr>
              <w:rFonts w:ascii="Arial" w:eastAsiaTheme="minorEastAsia" w:hAnsi="Arial" w:cs="Arial"/>
              <w:noProof/>
              <w:color w:val="000000" w:themeColor="text1"/>
              <w:szCs w:val="22"/>
              <w:lang w:eastAsia="sl-SI"/>
            </w:rPr>
            <w:tab/>
          </w:r>
          <w:r w:rsidRPr="00AF4071">
            <w:rPr>
              <w:rStyle w:val="Hiperpovezava"/>
              <w:rFonts w:ascii="Arial" w:hAnsi="Arial" w:cs="Arial"/>
              <w:noProof/>
              <w:color w:val="000000" w:themeColor="text1"/>
              <w:u w:val="none"/>
              <w:lang w:eastAsia="sl-SI"/>
            </w:rPr>
            <w:t>Neproračunski viri (npr. viri DARS d.d., Luka Koper d.d. …)</w:t>
          </w:r>
          <w:r w:rsidRPr="00AF4071">
            <w:rPr>
              <w:rFonts w:ascii="Arial" w:hAnsi="Arial" w:cs="Arial"/>
              <w:noProof/>
              <w:webHidden/>
              <w:color w:val="000000" w:themeColor="text1"/>
            </w:rPr>
            <w:tab/>
            <w:t>37</w:t>
          </w:r>
        </w:p>
        <w:p w:rsidR="00233EDC" w:rsidRPr="00AF4071" w:rsidRDefault="00233EDC" w:rsidP="00AF4071">
          <w:pPr>
            <w:pStyle w:val="Kazalovsebine1"/>
            <w:rPr>
              <w:rFonts w:eastAsiaTheme="minorEastAsia"/>
              <w:noProof/>
              <w:szCs w:val="22"/>
              <w:lang w:eastAsia="sl-SI"/>
            </w:rPr>
          </w:pPr>
          <w:r w:rsidRPr="00AF4071">
            <w:rPr>
              <w:rStyle w:val="Hiperpovezava"/>
              <w:rFonts w:ascii="Arial" w:hAnsi="Arial" w:cs="Arial"/>
              <w:smallCaps/>
              <w:noProof/>
              <w:color w:val="000000" w:themeColor="text1"/>
              <w:spacing w:val="5"/>
              <w:u w:val="none"/>
            </w:rPr>
            <w:t>7.</w:t>
          </w:r>
          <w:r w:rsidRPr="00AF4071">
            <w:rPr>
              <w:rFonts w:eastAsiaTheme="minorEastAsia"/>
              <w:noProof/>
              <w:szCs w:val="22"/>
              <w:lang w:eastAsia="sl-SI"/>
            </w:rPr>
            <w:tab/>
          </w:r>
          <w:r w:rsidRPr="00AF4071">
            <w:rPr>
              <w:rStyle w:val="Hiperpovezava"/>
              <w:rFonts w:ascii="Arial" w:hAnsi="Arial" w:cs="Arial"/>
              <w:smallCaps/>
              <w:noProof/>
              <w:color w:val="000000" w:themeColor="text1"/>
              <w:spacing w:val="5"/>
              <w:u w:val="none"/>
            </w:rPr>
            <w:t>PRIČAKOVANI UČINKI IZVAJANJA UKREPOV IZ STRATEGIJE IN AKTIVNOSTI DOLOČENIH V NACIONALNEM PROGRAMU IN 6-LETNIH OPERATIVNIH NAČRTIH</w:t>
          </w:r>
          <w:r w:rsidRPr="00AF4071">
            <w:rPr>
              <w:noProof/>
              <w:webHidden/>
            </w:rPr>
            <w:tab/>
            <w:t>39</w:t>
          </w:r>
        </w:p>
        <w:p w:rsidR="00233EDC" w:rsidRPr="00AF4071" w:rsidRDefault="00233EDC" w:rsidP="00AF4071">
          <w:pPr>
            <w:pStyle w:val="Kazalovsebine1"/>
            <w:rPr>
              <w:rFonts w:eastAsiaTheme="minorEastAsia"/>
              <w:noProof/>
              <w:szCs w:val="22"/>
              <w:lang w:eastAsia="sl-SI"/>
            </w:rPr>
          </w:pPr>
          <w:r w:rsidRPr="00AF4071">
            <w:rPr>
              <w:rStyle w:val="Hiperpovezava"/>
              <w:rFonts w:ascii="Arial" w:hAnsi="Arial" w:cs="Arial"/>
              <w:smallCaps/>
              <w:noProof/>
              <w:color w:val="000000" w:themeColor="text1"/>
              <w:spacing w:val="5"/>
              <w:u w:val="none"/>
            </w:rPr>
            <w:t>8.</w:t>
          </w:r>
          <w:r w:rsidRPr="00AF4071">
            <w:rPr>
              <w:rFonts w:eastAsiaTheme="minorEastAsia"/>
              <w:noProof/>
              <w:szCs w:val="22"/>
              <w:lang w:eastAsia="sl-SI"/>
            </w:rPr>
            <w:tab/>
          </w:r>
          <w:r w:rsidRPr="00AF4071">
            <w:rPr>
              <w:rStyle w:val="Hiperpovezava"/>
              <w:rFonts w:ascii="Arial" w:hAnsi="Arial" w:cs="Arial"/>
              <w:smallCaps/>
              <w:noProof/>
              <w:color w:val="000000" w:themeColor="text1"/>
              <w:spacing w:val="5"/>
              <w:u w:val="none"/>
            </w:rPr>
            <w:t>NAČRTOVANJE, NADZOR IN SPREMLJANJE IZVAJANJA NACIONALNEGA PROGRAMA</w:t>
          </w:r>
          <w:r w:rsidRPr="00AF4071">
            <w:rPr>
              <w:noProof/>
              <w:webHidden/>
            </w:rPr>
            <w:tab/>
            <w:t>41</w:t>
          </w:r>
        </w:p>
        <w:p w:rsidR="00233EDC" w:rsidRPr="00AF4071" w:rsidRDefault="00233EDC" w:rsidP="00AF4071">
          <w:pPr>
            <w:pStyle w:val="Kazalovsebine1"/>
            <w:rPr>
              <w:rFonts w:eastAsiaTheme="minorEastAsia"/>
              <w:noProof/>
              <w:szCs w:val="22"/>
              <w:lang w:eastAsia="sl-SI"/>
            </w:rPr>
          </w:pPr>
          <w:r w:rsidRPr="00AF4071">
            <w:rPr>
              <w:rStyle w:val="Hiperpovezava"/>
              <w:rFonts w:ascii="Arial" w:hAnsi="Arial" w:cs="Arial"/>
              <w:smallCaps/>
              <w:noProof/>
              <w:color w:val="000000" w:themeColor="text1"/>
              <w:spacing w:val="5"/>
              <w:u w:val="none"/>
            </w:rPr>
            <w:t>9.</w:t>
          </w:r>
          <w:r w:rsidRPr="00AF4071">
            <w:rPr>
              <w:rFonts w:eastAsiaTheme="minorEastAsia"/>
              <w:noProof/>
              <w:szCs w:val="22"/>
              <w:lang w:eastAsia="sl-SI"/>
            </w:rPr>
            <w:tab/>
          </w:r>
          <w:r w:rsidRPr="00AF4071">
            <w:rPr>
              <w:rStyle w:val="Hiperpovezava"/>
              <w:rFonts w:ascii="Arial" w:hAnsi="Arial" w:cs="Arial"/>
              <w:smallCaps/>
              <w:noProof/>
              <w:color w:val="000000" w:themeColor="text1"/>
              <w:spacing w:val="5"/>
              <w:u w:val="none"/>
            </w:rPr>
            <w:t>PREHODNE IN KONČNE DOLOČBE</w:t>
          </w:r>
          <w:r w:rsidRPr="00AF4071">
            <w:rPr>
              <w:noProof/>
              <w:webHidden/>
            </w:rPr>
            <w:tab/>
            <w:t>42</w:t>
          </w:r>
        </w:p>
        <w:p w:rsidR="00233EDC" w:rsidRPr="00AF4071" w:rsidRDefault="00233EDC" w:rsidP="00AF4071">
          <w:pPr>
            <w:pStyle w:val="Kazalovsebine1"/>
            <w:rPr>
              <w:rFonts w:eastAsiaTheme="minorEastAsia"/>
              <w:noProof/>
              <w:szCs w:val="22"/>
              <w:lang w:eastAsia="sl-SI"/>
            </w:rPr>
          </w:pPr>
          <w:r w:rsidRPr="00AF4071">
            <w:rPr>
              <w:rStyle w:val="Hiperpovezava"/>
              <w:rFonts w:ascii="Arial" w:hAnsi="Arial" w:cs="Arial"/>
              <w:smallCaps/>
              <w:noProof/>
              <w:color w:val="000000" w:themeColor="text1"/>
              <w:spacing w:val="5"/>
              <w:u w:val="none"/>
            </w:rPr>
            <w:t>10.</w:t>
          </w:r>
          <w:r w:rsidRPr="00AF4071">
            <w:rPr>
              <w:rFonts w:eastAsiaTheme="minorEastAsia"/>
              <w:noProof/>
              <w:szCs w:val="22"/>
              <w:lang w:eastAsia="sl-SI"/>
            </w:rPr>
            <w:tab/>
          </w:r>
          <w:r w:rsidRPr="00AF4071">
            <w:rPr>
              <w:rStyle w:val="Hiperpovezava"/>
              <w:rFonts w:ascii="Arial" w:hAnsi="Arial" w:cs="Arial"/>
              <w:smallCaps/>
              <w:noProof/>
              <w:color w:val="000000" w:themeColor="text1"/>
              <w:spacing w:val="5"/>
              <w:u w:val="none"/>
            </w:rPr>
            <w:t>PRILOGE</w:t>
          </w:r>
          <w:r w:rsidRPr="00AF4071">
            <w:rPr>
              <w:noProof/>
              <w:webHidden/>
            </w:rPr>
            <w:tab/>
            <w:t>43</w:t>
          </w:r>
        </w:p>
        <w:p w:rsidR="000753CE" w:rsidRPr="00AF4071" w:rsidRDefault="005B723E">
          <w:pPr>
            <w:rPr>
              <w:rFonts w:ascii="Arial" w:hAnsi="Arial" w:cs="Arial"/>
              <w:color w:val="000000" w:themeColor="text1"/>
            </w:rPr>
          </w:pPr>
        </w:p>
      </w:sdtContent>
    </w:sdt>
    <w:p w:rsidR="00932F39" w:rsidRDefault="00932F39">
      <w:pPr>
        <w:suppressAutoHyphens w:val="0"/>
        <w:rPr>
          <w:rFonts w:ascii="Arial" w:hAnsi="Arial" w:cs="Arial"/>
          <w:caps/>
        </w:rPr>
      </w:pPr>
      <w:r>
        <w:rPr>
          <w:rFonts w:ascii="Arial" w:hAnsi="Arial" w:cs="Arial"/>
          <w:caps/>
        </w:rPr>
        <w:br w:type="page"/>
      </w:r>
    </w:p>
    <w:p w:rsidR="00D91D1F" w:rsidRPr="0063511F" w:rsidRDefault="0063511F" w:rsidP="0063511F">
      <w:pPr>
        <w:pStyle w:val="Naslov"/>
        <w:rPr>
          <w:rStyle w:val="Naslovknjige"/>
          <w:b/>
          <w:bCs/>
          <w:smallCaps w:val="0"/>
          <w:spacing w:val="0"/>
        </w:rPr>
      </w:pPr>
      <w:bookmarkStart w:id="1" w:name="_Toc456688565"/>
      <w:r w:rsidRPr="0063511F">
        <w:rPr>
          <w:rStyle w:val="Naslovknjige"/>
          <w:b/>
          <w:bCs/>
          <w:smallCaps w:val="0"/>
          <w:spacing w:val="0"/>
        </w:rPr>
        <w:lastRenderedPageBreak/>
        <w:t>1.</w:t>
      </w:r>
      <w:r w:rsidRPr="0063511F">
        <w:rPr>
          <w:rStyle w:val="Naslovknjige"/>
          <w:b/>
          <w:bCs/>
          <w:smallCaps w:val="0"/>
          <w:spacing w:val="0"/>
        </w:rPr>
        <w:tab/>
      </w:r>
      <w:r w:rsidR="00D91D1F" w:rsidRPr="0063511F">
        <w:rPr>
          <w:rStyle w:val="Naslovknjige"/>
          <w:b/>
          <w:bCs/>
          <w:smallCaps w:val="0"/>
          <w:spacing w:val="0"/>
        </w:rPr>
        <w:t>UVOD</w:t>
      </w:r>
      <w:bookmarkEnd w:id="1"/>
    </w:p>
    <w:p w:rsidR="00D91D1F" w:rsidRPr="00D91D1F" w:rsidRDefault="00D91D1F" w:rsidP="00D91D1F">
      <w:pPr>
        <w:jc w:val="both"/>
        <w:rPr>
          <w:rFonts w:ascii="Arial" w:hAnsi="Arial" w:cs="Arial"/>
          <w:b/>
          <w:szCs w:val="22"/>
        </w:rPr>
      </w:pPr>
    </w:p>
    <w:p w:rsidR="00D91D1F" w:rsidRPr="00E564A6" w:rsidRDefault="004C7A0F" w:rsidP="00D91D1F">
      <w:pPr>
        <w:jc w:val="both"/>
        <w:rPr>
          <w:rFonts w:ascii="Arial" w:hAnsi="Arial" w:cs="Arial"/>
          <w:sz w:val="20"/>
          <w:szCs w:val="20"/>
        </w:rPr>
      </w:pPr>
      <w:r w:rsidRPr="004C7A0F">
        <w:rPr>
          <w:rFonts w:ascii="Arial" w:hAnsi="Arial" w:cs="Arial"/>
          <w:sz w:val="20"/>
          <w:szCs w:val="20"/>
        </w:rPr>
        <w:t xml:space="preserve">Republika Slovenija </w:t>
      </w:r>
      <w:r w:rsidR="007A7C23">
        <w:rPr>
          <w:rFonts w:ascii="Arial" w:hAnsi="Arial" w:cs="Arial"/>
          <w:sz w:val="20"/>
          <w:szCs w:val="20"/>
        </w:rPr>
        <w:t xml:space="preserve">je </w:t>
      </w:r>
      <w:r>
        <w:rPr>
          <w:rFonts w:ascii="Arial" w:hAnsi="Arial" w:cs="Arial"/>
          <w:sz w:val="20"/>
          <w:szCs w:val="20"/>
        </w:rPr>
        <w:t>pred leti</w:t>
      </w:r>
      <w:r w:rsidR="007A7C23">
        <w:rPr>
          <w:rFonts w:ascii="Arial" w:hAnsi="Arial" w:cs="Arial"/>
          <w:sz w:val="20"/>
          <w:szCs w:val="20"/>
        </w:rPr>
        <w:t xml:space="preserve"> pričela s projektom vzpostavitve</w:t>
      </w:r>
      <w:r w:rsidRPr="004C7A0F">
        <w:rPr>
          <w:rFonts w:ascii="Arial" w:hAnsi="Arial" w:cs="Arial"/>
          <w:sz w:val="20"/>
          <w:szCs w:val="20"/>
        </w:rPr>
        <w:t xml:space="preserve"> ustreznega sistema celovitega načrtovanja razvoja na področju prometa in prometne infrastrukture, ki temelji na znotraj-sektorski in med-sektorsko usklajeni viziji ter presega sistem načrtovanja razvoja na področju prometa in prometne infrastrukture</w:t>
      </w:r>
      <w:r w:rsidRPr="004C7A0F">
        <w:rPr>
          <w:rFonts w:ascii="Arial" w:hAnsi="Arial" w:cs="Arial"/>
          <w:b/>
          <w:bCs/>
          <w:sz w:val="20"/>
          <w:szCs w:val="20"/>
        </w:rPr>
        <w:t xml:space="preserve"> </w:t>
      </w:r>
      <w:r w:rsidRPr="004C7A0F">
        <w:rPr>
          <w:rFonts w:ascii="Arial" w:hAnsi="Arial" w:cs="Arial"/>
          <w:sz w:val="20"/>
          <w:szCs w:val="20"/>
        </w:rPr>
        <w:t>na</w:t>
      </w:r>
      <w:r w:rsidRPr="004C7A0F">
        <w:rPr>
          <w:rFonts w:ascii="Arial" w:hAnsi="Arial" w:cs="Arial"/>
          <w:b/>
          <w:bCs/>
          <w:sz w:val="20"/>
          <w:szCs w:val="20"/>
        </w:rPr>
        <w:t xml:space="preserve"> </w:t>
      </w:r>
      <w:r w:rsidRPr="004C7A0F">
        <w:rPr>
          <w:rFonts w:ascii="Arial" w:hAnsi="Arial" w:cs="Arial"/>
          <w:sz w:val="20"/>
          <w:szCs w:val="20"/>
        </w:rPr>
        <w:t>podlagi omenjenih, delnih in parcialnih rešitev, ki so jih opredeljevali strateški dokumenti</w:t>
      </w:r>
      <w:r>
        <w:rPr>
          <w:rFonts w:ascii="Arial" w:hAnsi="Arial" w:cs="Arial"/>
          <w:sz w:val="20"/>
          <w:szCs w:val="20"/>
        </w:rPr>
        <w:t xml:space="preserve"> do sedaj</w:t>
      </w:r>
      <w:r w:rsidR="00D91D1F" w:rsidRPr="00E564A6">
        <w:rPr>
          <w:rFonts w:ascii="Arial" w:hAnsi="Arial" w:cs="Arial"/>
          <w:sz w:val="20"/>
          <w:szCs w:val="20"/>
        </w:rPr>
        <w:t>. Najbolj očiten je razkorak med strateško načelnimi vizijami (npr. Resolucijo o prometni politiki Republike Slovenije - Intermodaln</w:t>
      </w:r>
      <w:r w:rsidR="007A7C23">
        <w:rPr>
          <w:rFonts w:ascii="Arial" w:hAnsi="Arial" w:cs="Arial"/>
          <w:sz w:val="20"/>
          <w:szCs w:val="20"/>
        </w:rPr>
        <w:t>ost: čas za sinergijo (</w:t>
      </w:r>
      <w:r w:rsidR="00D91D1F" w:rsidRPr="00E564A6">
        <w:rPr>
          <w:rFonts w:ascii="Arial" w:hAnsi="Arial" w:cs="Arial"/>
          <w:sz w:val="20"/>
          <w:szCs w:val="20"/>
        </w:rPr>
        <w:t>Uradni list RS, št. 58/2006) in dolgoročnimi ali srednjeročnimi operativnimi nacionalnimi programi kot sta Resolucija o Nacionalnem programu izgradnje avtoce</w:t>
      </w:r>
      <w:r w:rsidR="007A7C23">
        <w:rPr>
          <w:rFonts w:ascii="Arial" w:hAnsi="Arial" w:cs="Arial"/>
          <w:sz w:val="20"/>
          <w:szCs w:val="20"/>
        </w:rPr>
        <w:t>st v Republiki Sloveniji (</w:t>
      </w:r>
      <w:r w:rsidR="00D91D1F" w:rsidRPr="00E564A6">
        <w:rPr>
          <w:rFonts w:ascii="Arial" w:hAnsi="Arial" w:cs="Arial"/>
          <w:sz w:val="20"/>
          <w:szCs w:val="20"/>
        </w:rPr>
        <w:t xml:space="preserve">Uradni list RS, št. </w:t>
      </w:r>
      <w:hyperlink r:id="rId10" w:tgtFrame="_blank" w:tooltip="Resolucija o Nacionalnem programu izgradnje avtocest v Republiki Sloveniji (ReNPIA)" w:history="1">
        <w:r w:rsidR="00D91D1F" w:rsidRPr="00E564A6">
          <w:rPr>
            <w:rStyle w:val="Hiperpovezava"/>
            <w:rFonts w:ascii="Arial" w:hAnsi="Arial" w:cs="Arial"/>
            <w:sz w:val="20"/>
            <w:szCs w:val="20"/>
          </w:rPr>
          <w:t>50/04</w:t>
        </w:r>
      </w:hyperlink>
      <w:r w:rsidR="00D91D1F" w:rsidRPr="00E564A6">
        <w:rPr>
          <w:rFonts w:ascii="Arial" w:hAnsi="Arial" w:cs="Arial"/>
          <w:sz w:val="20"/>
          <w:szCs w:val="20"/>
          <w:u w:val="single"/>
        </w:rPr>
        <w:t xml:space="preserve"> in </w:t>
      </w:r>
      <w:hyperlink r:id="rId11" w:tgtFrame="_blank" w:tooltip="Zakon o cestah" w:history="1">
        <w:r w:rsidR="00D91D1F" w:rsidRPr="00E564A6">
          <w:rPr>
            <w:rStyle w:val="Hiperpovezava"/>
            <w:rFonts w:ascii="Arial" w:hAnsi="Arial" w:cs="Arial"/>
            <w:sz w:val="20"/>
            <w:szCs w:val="20"/>
          </w:rPr>
          <w:t>109/10</w:t>
        </w:r>
      </w:hyperlink>
      <w:r w:rsidR="00D91D1F" w:rsidRPr="00E564A6">
        <w:rPr>
          <w:rFonts w:ascii="Arial" w:hAnsi="Arial" w:cs="Arial"/>
          <w:sz w:val="20"/>
          <w:szCs w:val="20"/>
        </w:rPr>
        <w:t xml:space="preserve"> – ZCes-1) in Nacionalni program razvoja Slovenske žel</w:t>
      </w:r>
      <w:r w:rsidR="007A7C23">
        <w:rPr>
          <w:rFonts w:ascii="Arial" w:hAnsi="Arial" w:cs="Arial"/>
          <w:sz w:val="20"/>
          <w:szCs w:val="20"/>
        </w:rPr>
        <w:t>ezniške infrastrukture (</w:t>
      </w:r>
      <w:r w:rsidR="00D91D1F" w:rsidRPr="00E564A6">
        <w:rPr>
          <w:rFonts w:ascii="Arial" w:hAnsi="Arial" w:cs="Arial"/>
          <w:sz w:val="20"/>
          <w:szCs w:val="20"/>
        </w:rPr>
        <w:t xml:space="preserve">Uradni list RS, št. </w:t>
      </w:r>
      <w:hyperlink r:id="rId12" w:tgtFrame="_blank" w:tooltip="Nacionalni program razvoja Slovenske železniške infrastrukture (NPRSZI)" w:history="1">
        <w:r w:rsidR="00D91D1F" w:rsidRPr="00E564A6">
          <w:rPr>
            <w:rStyle w:val="Hiperpovezava"/>
            <w:rFonts w:ascii="Arial" w:hAnsi="Arial" w:cs="Arial"/>
            <w:sz w:val="20"/>
            <w:szCs w:val="20"/>
          </w:rPr>
          <w:t>13/96</w:t>
        </w:r>
      </w:hyperlink>
      <w:r w:rsidR="00D91D1F" w:rsidRPr="00E564A6">
        <w:rPr>
          <w:rFonts w:ascii="Arial" w:hAnsi="Arial" w:cs="Arial"/>
          <w:sz w:val="20"/>
          <w:szCs w:val="20"/>
        </w:rPr>
        <w:t>). Nastanek navedenih aktov časovno in vsebinsko ni bil usklajen, saj je bila Resolucija o prometni politiki kot krovni strateški akt sprejeta deset let kasneje kot nacionalna programa razvoja avtocest ali železnic. Ravno tako tudi Resolucija o Nacionalnem programu razvoja civilnega letalstva Republike S</w:t>
      </w:r>
      <w:r w:rsidR="007A7C23">
        <w:rPr>
          <w:rFonts w:ascii="Arial" w:hAnsi="Arial" w:cs="Arial"/>
          <w:sz w:val="20"/>
          <w:szCs w:val="20"/>
        </w:rPr>
        <w:t>lovenije do leta 2020 (</w:t>
      </w:r>
      <w:r w:rsidR="00D91D1F" w:rsidRPr="00E564A6">
        <w:rPr>
          <w:rFonts w:ascii="Arial" w:hAnsi="Arial" w:cs="Arial"/>
          <w:sz w:val="20"/>
          <w:szCs w:val="20"/>
        </w:rPr>
        <w:t xml:space="preserve">Uradni list RS, št. </w:t>
      </w:r>
      <w:hyperlink r:id="rId13" w:tgtFrame="_blank" w:tooltip="Resolucija o Nacionalnem programu razvoja civilnega letalstva Republike Slovenije do leta 2020 (ReNPRCL)" w:history="1">
        <w:r w:rsidR="00D91D1F" w:rsidRPr="00E564A6">
          <w:rPr>
            <w:rStyle w:val="Hiperpovezava"/>
            <w:rFonts w:ascii="Arial" w:hAnsi="Arial" w:cs="Arial"/>
            <w:sz w:val="20"/>
            <w:szCs w:val="20"/>
          </w:rPr>
          <w:t>9/10</w:t>
        </w:r>
      </w:hyperlink>
      <w:r w:rsidR="00D91D1F" w:rsidRPr="00E564A6">
        <w:rPr>
          <w:rFonts w:ascii="Arial" w:hAnsi="Arial" w:cs="Arial"/>
          <w:sz w:val="20"/>
          <w:szCs w:val="20"/>
        </w:rPr>
        <w:t>) in Resolucija o nacionalnem programu razvoja pomorst</w:t>
      </w:r>
      <w:r w:rsidR="007A7C23">
        <w:rPr>
          <w:rFonts w:ascii="Arial" w:hAnsi="Arial" w:cs="Arial"/>
          <w:sz w:val="20"/>
          <w:szCs w:val="20"/>
        </w:rPr>
        <w:t>va Republike Slovenije (</w:t>
      </w:r>
      <w:r w:rsidR="00D91D1F" w:rsidRPr="00E564A6">
        <w:rPr>
          <w:rFonts w:ascii="Arial" w:hAnsi="Arial" w:cs="Arial"/>
          <w:sz w:val="20"/>
          <w:szCs w:val="20"/>
        </w:rPr>
        <w:t xml:space="preserve">Uradni list RS, št. </w:t>
      </w:r>
      <w:hyperlink r:id="rId14" w:tgtFrame="_blank" w:tooltip="Resolucija o nacionalnem programu razvoja pomorstva Republike Slovenije (ReNPRP)" w:history="1">
        <w:r w:rsidR="00D91D1F" w:rsidRPr="00E564A6">
          <w:rPr>
            <w:rStyle w:val="Hiperpovezava"/>
            <w:rFonts w:ascii="Arial" w:hAnsi="Arial" w:cs="Arial"/>
            <w:sz w:val="20"/>
            <w:szCs w:val="20"/>
          </w:rPr>
          <w:t>87/10</w:t>
        </w:r>
      </w:hyperlink>
      <w:r w:rsidR="00D91D1F" w:rsidRPr="00E564A6">
        <w:rPr>
          <w:rFonts w:ascii="Arial" w:hAnsi="Arial" w:cs="Arial"/>
          <w:sz w:val="20"/>
          <w:szCs w:val="20"/>
        </w:rPr>
        <w:t>), sprejeti po Resoluciji o prometni politiki, z njo nista bili sistematično usklajeni in pokrivata le svoji ožji področji. Dokaj nedorečena in pomanjkljiva pa je tudi njuna operativnost. Posledično razvoj poteka predvsem na podlagi delnih in ozkih rešitev ter brez znotraj-sektorske in med-sektorsko usklajene vizije. Med predstavljenimi dolgoročnimi razvojnimi dokumenti sta bila le nacionalna programa s področja avtocest in železnic zadovoljivo operativna, s finančno in terminsko konkretno določeno realizacijo, ki prav tako nista obravnavala slovenskega prometnega sistema kot celote, ampak le svoji ožji področji. Vsi ti dokumenti so bili sprejeti že pred leti, tako da glede na današnje razmere in potrebe v celoti ne ponujajo več ustreznih odgovorov in rešitev.</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 xml:space="preserve">Sprejeta Strategija razvoja prometa v RS (v nadaljevanju Strategija), ki jo je sprejela Vlada RS na seji 29. julija 2015 (sklep št. 37000-3/2015/8), prvič celovito obravnava prometni sistem. S pripravo in sprejetjem Strategije je bila tako presežena dosedanja praksa parcialnega reševanja posameznih podsistemov prometa. Še več, poleg infrastrukture je tokrat na strateški ravni zajeto tudi celovito delovanje prometnega sistema. Na podlagi podrobnih analiz infrastrukture in delovanja sistema ter identificiranih dejanskih problemov je v Strategiji predvidenih 108 ukrepov. </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Analize obsega infrastrukture glede na število prebivalcev in glede na bruto domači proizvod kažejo, da je prometnoinfrastrukturni sistem v Sloveniji zelo solidno, na ravni EU deloma celo nadpovprečno razvit in razvejan. To še posebej velja za avtoceste. Po drugi strani pa analize OECD</w:t>
      </w:r>
      <w:r w:rsidRPr="00E564A6">
        <w:rPr>
          <w:rStyle w:val="Sprotnaopomba-sklic"/>
          <w:rFonts w:ascii="Arial" w:hAnsi="Arial" w:cs="Arial"/>
          <w:sz w:val="20"/>
          <w:szCs w:val="20"/>
        </w:rPr>
        <w:footnoteReference w:id="1"/>
      </w:r>
      <w:r w:rsidRPr="00E564A6">
        <w:rPr>
          <w:rFonts w:ascii="Arial" w:hAnsi="Arial" w:cs="Arial"/>
          <w:sz w:val="20"/>
          <w:szCs w:val="20"/>
        </w:rPr>
        <w:t xml:space="preserve"> kažejo, da primerljivo in bolj prometno razvite države od Slovenije bistveno več proračunskih sredstev namenjajo ohranjanju in investicijskemu vzdrževanju obstoječe infrastrukture (rekonstrukcije vozišč in objektov, izgradnja obvoznih cest …). Na tem področju Slovenija izrazito zaostaja. Za ohranitev kakovostne prometne infrastrukture je zato ključno, da z dolgoročnimi dokumenti strukturno preusmerimo zadosten del sredstev v njeno ohranjanje in investicijsko vzdrževanje. Ukrepi za povečanje prometne varnosti, dostopnosti, prepustnosti ipd., ki so v prometno razvitejših državah, po katerih se zgledujemo, praksa, namreč omogočajo, da se obstoječa infrastruktura, z ustreznim vzdrževanjem, postopno izboljšuje. Podobno velja tudi za prometne storitve v javnem prometu. Tak pristop bo izrazito povečal učinkovitost slovenskega prometnoinfrastrukturnega sistema.</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Resolucija o nacionalnem programu razvoja prometa v Republiki Sloveniji (v nadaljevanju</w:t>
      </w:r>
      <w:r w:rsidR="007A7C23">
        <w:rPr>
          <w:rFonts w:ascii="Arial" w:hAnsi="Arial" w:cs="Arial"/>
          <w:sz w:val="20"/>
          <w:szCs w:val="20"/>
        </w:rPr>
        <w:t>:</w:t>
      </w:r>
      <w:r w:rsidRPr="00E564A6">
        <w:rPr>
          <w:rFonts w:ascii="Arial" w:hAnsi="Arial" w:cs="Arial"/>
          <w:sz w:val="20"/>
          <w:szCs w:val="20"/>
        </w:rPr>
        <w:t xml:space="preserve"> Nacionalni program) je dokument, ki predstavlja prehod med splošnimi ukrepi iz Strategije na konkretne aktivnosti v pripravi in izvedbi. Pri njihovi opredelitvi so bili določeni roki in nosilci posameznih aktivnosti, katerim so bili dodeljeni tudi okvirni stroški, vendar so bile vrednosti za večino aktivnosti ocenjene. Te se bodo s pripravo posamezne študijske in projektne dokumentacije podrobneje konkretizirale. Zato je letna višina potrebnih sredstev za realizacijo aktivnosti v Nacionalnem programu določena le po področjih, medtem ko so same aktivnosti, roki za njihovo izvedbo in nosilci navedeni v prilogi. Dinamika navedenih aktivnosti pa bo tudi sicer odvisna od višine proračunskih sredstev, dodeljenih za te namene, vendar, če se bo gibala v okvirih, ki so navedeni v tabelah v nadaljevanju, bo lahko spoštovana tudi dinamika aktivnosti, navedena v prilogi Nacionalnega programa. V vsakem primeru pa bo potrebno vzpostaviti mehanizme za njegovo sprotno spremljanje in dopolnjevanje. Za namen podrobnejšega načrtovanja izvajanja aktivnosti v dokumentu predlagamo, da Vlada RS vsako leto </w:t>
      </w:r>
      <w:r w:rsidRPr="00E564A6">
        <w:rPr>
          <w:rFonts w:ascii="Arial" w:hAnsi="Arial" w:cs="Arial"/>
          <w:sz w:val="20"/>
          <w:szCs w:val="20"/>
        </w:rPr>
        <w:lastRenderedPageBreak/>
        <w:t xml:space="preserve">sprejme 6-letni operativni načrt vlaganj v promet oz. prometno infrastrukturo, ki bo določal konkretne aktivnosti (projekte) na podlagi strokovnih prioritet, stroške za njihovo realizacijo in natančne roke izvedbe. </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Že sama Strategija je poudarila, da je potrebno pri pripravi konkretnih projektov v okviru aktivnosti slediti predvsem načelu prometne in stroškovne učinkovitosti. To pomeni, da je najprej potrebno poiskati in izčrpati ustrezne možnosti nadgradenj in posodobitev obstoječe infrastrukture. Novogradnje pa načrtovati le takrat, ko samo z nadgradnjami in posodobitvami obstoječe infrastrukture ni več mogoče zagotavljati primernega nivoja prometnih uslug. Potrjevanje posameznih projektov mora biti ustrezno podprto z analizami stroškov in koristi oz. metodami stroškovne učinkovitosti, ob tem pa je potrebno ustrezno upoštevati cilj izboljšanja mobilnosti in dostopnosti prebivalcev v RS.</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Pomemben segment razvoja prometnega sistema predstavlja vzpostavitev ustreznega sistema gospodarjenja z obstoječim premoženjem in infrastrukturo. Razvoj dejavnosti javnega potniškega prometa mora ravno tako temeljiti na optimizaciji stroškov in koristi, predvsem s ciljem, da sistem postopno postaja samovzdržen.</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Nacionalni program je sam po sebi ambiciozno naravnan, v povprečju za investicije, vzdrževanje in delovanje sistema (nadomestila, kompenzacije), predvideva dokaj enakomerno vlaganje v daljšem časovnem obdobju v višini med 600 in 700 mio EUR letno. Tak konstanten vložek omogoča hitrejše doseganje ciljev prometnega sistema, predvsem pa doseganja ciljev strategije: izboljšati mobilnost in dostopnost, izboljšati oskrbo gospodarstva, izboljšati prometno varnost in varovanje, zmanjšati porabo energije v prometu, zmanjšati stroške uporabnikov in upravljavcev, zmanjšati okoljske obremenitve.</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Dodatno je za daljše časovno obdobje predviden vložek zasebnih investitorjev (npr. koncesionarjev) v povprečju okvirno 300 mio EUR na leto.</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Konstantna in stabilna vlaganja v infrastrukturo imajo pozitivne učinke na gospodarstvo in rast BDP-ja. Seveda pa cilj razvoja prometa v Republiki Sloveniji niso investicije same po sebi, temveč investicije v prometno infrastrukturo, ki uporabnikom (ljudem in gospodarskim subjektom) zagotovijo predvsem neposredne učinke oziroma neposredne koristi. Zato je dokument strateško naravnan tako, da v vseh fazah izvajanja aktivnosti - vse do priprave končnega projekta - predvideva uporabo metod ekonomskega vrednotenja kot nujne podlage za odločanje. Če želimo zagotoviti kar najbolj pozitivne učinke razvoja prometa na gospodarski in družben razvoj Slovenije, je potrebno zagotoviti uravnotežen in racionalen obseg vlaganj v razvoj prometne infrastrukture, da bo zagotovljena predvsem njena dobra izkoriščenost in funkcionalnost. Pri tem je potrebno zagotavljati ustrezno transportno sposobnost in primeren nivo prometnih uslug (ni ozkih grl, ustrezen čas potovanja).</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Osnovna usmeritev Strategije in na njej utemeljenega Nacionalnega programa prioritetno temelji na povečanju učinkovitosti in optimizaciji ter prilagajanju prometnega sistema srednje in dolgoročnim prometnim potrebam ljudi in gospodarskih subjektov na optimalen oz. trajnosten način (kako lahko čim bolj učinkovito rešimo probleme) in ne na novih velikih investicijskih projektih (kaj lahko še zgradimo). To pa nikakor ne pomeni, da zastavljeni pristop ne daje možnosti za velike razvojne projekte. Nasprotno, možnosti so, ampak morajo biti prometne potrebe jasno evidentirane in učinki (tudi ekonomski) ustrezno utemeljeni. Za dosego zastavljenih ciljev je zato v okviru tekočega spremljanja izvajanja načrtovanih aktivnosti predvidena sprotna in kontinuirana selekcija med alternativami rešitvami in variantami. Spremljanje izvajanja Nacionalnega programa in 6-letnega operativnega načrta je zato nujen pogoj, da ohranimo ta dokument v vsakem trenutku aktualen, pripravo in izvedbo projektov pa na njegovi podlagi učinkovito usmerjamo k zastavljenim šestim temeljnim ciljem Strategije.</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 xml:space="preserve">OECD, ki spremlja vlaganja posameznih držav v infrastrukturo na agregatni ravni, ugotavlja, da razvite države bistveno večji delež javnih sredstev namenjajo za upravljanje in vzdrževanje kot pa za novogradnje. Z Nacionalnim programom moramo srednjeročno in dolgoročno zagotoviti ustrezno obravnavo obstoječih sistemov ter zagotoviti pogoje za učinkovito upravljanje, nadgradnje, rekonstrukcije in vzdrževanje. </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 xml:space="preserve">Poročilo Svetovnega gospodarskega foruma z naslovom »Strategic Infrastructure Steps to Operate and Maintain Infrastructure Efficiently and Effectively« (World Economic Forum, april 2014) kot ključno komponento učinkovitosti celotne družbe izpostavlja ravno upravljanje in vzdrževanje obstoječega </w:t>
      </w:r>
      <w:r w:rsidRPr="00E564A6">
        <w:rPr>
          <w:rFonts w:ascii="Arial" w:hAnsi="Arial" w:cs="Arial"/>
          <w:sz w:val="20"/>
          <w:szCs w:val="20"/>
        </w:rPr>
        <w:lastRenderedPageBreak/>
        <w:t xml:space="preserve">premoženja, vključno s potrebnimi posodobitvami in nadgradnjami. Poročilo tudi ugotavlja, da so viri (finančni in človeški) vse preveč usmerjeni v novogradnje, namesto da bi ob zaostrenih javno finančnih pogojih več pozornosti usmerili v nadgradnje in optimizacije ter posodobitve obstoječe infrastrukture in prometnega sistema. </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Še posebej pa je problematično, če prevelika koncentracija virov za pridobivanje novega premoženja oz. nove infrastrukture onemogoča oz. izriva razvoj in optimizacijo obstoječe infrastrukture in delovanje obstoječega prometnega sistema. Predvsem pa omenjeno poročilo izpostavlja naslednje:</w:t>
      </w:r>
    </w:p>
    <w:p w:rsidR="00D91D1F" w:rsidRPr="00E564A6" w:rsidRDefault="00D91D1F" w:rsidP="00C1387F">
      <w:pPr>
        <w:numPr>
          <w:ilvl w:val="0"/>
          <w:numId w:val="24"/>
        </w:numPr>
        <w:jc w:val="both"/>
        <w:rPr>
          <w:rFonts w:ascii="Arial" w:hAnsi="Arial" w:cs="Arial"/>
          <w:sz w:val="20"/>
          <w:szCs w:val="20"/>
        </w:rPr>
      </w:pPr>
      <w:r w:rsidRPr="00E564A6">
        <w:rPr>
          <w:rFonts w:ascii="Arial" w:hAnsi="Arial" w:cs="Arial"/>
          <w:sz w:val="20"/>
          <w:szCs w:val="20"/>
        </w:rPr>
        <w:t>potrebno je povečati učinkovitost, tudi z upravljanjem prometa v prometnih konicah, učinkovito upravljati s povpraševanjem in potrebna je višja kakovost storitev za uporabnike;</w:t>
      </w:r>
    </w:p>
    <w:p w:rsidR="00D91D1F" w:rsidRPr="00E564A6" w:rsidRDefault="00D91D1F" w:rsidP="00C1387F">
      <w:pPr>
        <w:numPr>
          <w:ilvl w:val="0"/>
          <w:numId w:val="24"/>
        </w:numPr>
        <w:jc w:val="both"/>
        <w:rPr>
          <w:rFonts w:ascii="Arial" w:hAnsi="Arial" w:cs="Arial"/>
          <w:sz w:val="20"/>
          <w:szCs w:val="20"/>
        </w:rPr>
      </w:pPr>
      <w:r w:rsidRPr="00E564A6">
        <w:rPr>
          <w:rFonts w:ascii="Arial" w:hAnsi="Arial" w:cs="Arial"/>
          <w:sz w:val="20"/>
          <w:szCs w:val="20"/>
        </w:rPr>
        <w:t xml:space="preserve">zniževati je potrebno skupne stroške sistema z vse bolj učinkovitim upravljanjem in vzdrževanjem, vključno z upoštevanjem eksternih stroškov; </w:t>
      </w:r>
    </w:p>
    <w:p w:rsidR="00D91D1F" w:rsidRPr="00E564A6" w:rsidRDefault="00D91D1F" w:rsidP="00C1387F">
      <w:pPr>
        <w:numPr>
          <w:ilvl w:val="0"/>
          <w:numId w:val="24"/>
        </w:numPr>
        <w:jc w:val="both"/>
        <w:rPr>
          <w:rFonts w:ascii="Arial" w:hAnsi="Arial" w:cs="Arial"/>
          <w:sz w:val="20"/>
          <w:szCs w:val="20"/>
        </w:rPr>
      </w:pPr>
      <w:r w:rsidRPr="00E564A6">
        <w:rPr>
          <w:rFonts w:ascii="Arial" w:hAnsi="Arial" w:cs="Arial"/>
          <w:sz w:val="20"/>
          <w:szCs w:val="20"/>
        </w:rPr>
        <w:t xml:space="preserve">povečevati (ohranjati) je potrebno vrednost premoženja, pri čemer je potrebno zagotoviti ustrezne nadgradnje in rekonstrukcije pravočasno, prioritete pa določiti na osnovi analize stroškov in koristi v celotni življenjski dobi. </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 xml:space="preserve">Ustrezne modele gospodarjenja z obstoječim premoženjem je možno razviti, če se za te dele nameni zadostna finančna sredstva in človeške vire. To pomeni postopno prilagajanje in reformiranje ustaljenih vzorcev delovanja, tudi javne uprave in ostalih deležnikov v celotnem prometnem sistemu. </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Iz analiz opravljenih pri pripravi Strategije razvoja prometa izhajajo tudi ugotovitve, da je bil v preteklih dvajsetih letih predvsem poudarek na izgradnji nove cestne infrastrukture, predvsem večpasovnih cest. Tako DARS upravlja skupno 746 kilometrov štiripasovnih cest. Po drugi strani pa Direkcija RS za infrastrukturo (DRSI) upravlja 5.936 kilometrov cest, lokalne skupnosti pa še dodatno 32.224 kilometrov, večinoma preslabo vzdrževanih cest.</w:t>
      </w:r>
    </w:p>
    <w:p w:rsidR="00D91D1F" w:rsidRPr="00E564A6" w:rsidRDefault="00D91D1F" w:rsidP="00D91D1F">
      <w:pPr>
        <w:jc w:val="both"/>
        <w:rPr>
          <w:rFonts w:ascii="Arial" w:hAnsi="Arial" w:cs="Arial"/>
          <w:sz w:val="20"/>
          <w:szCs w:val="20"/>
        </w:rPr>
      </w:pPr>
    </w:p>
    <w:p w:rsidR="00D91D1F" w:rsidRPr="00E564A6" w:rsidRDefault="00D91D1F" w:rsidP="00D91D1F">
      <w:pPr>
        <w:rPr>
          <w:rFonts w:ascii="Arial" w:hAnsi="Arial" w:cs="Arial"/>
          <w:sz w:val="20"/>
          <w:szCs w:val="20"/>
        </w:rPr>
      </w:pPr>
      <w:r w:rsidRPr="00E564A6">
        <w:rPr>
          <w:rFonts w:ascii="Arial" w:hAnsi="Arial" w:cs="Arial"/>
          <w:sz w:val="20"/>
          <w:szCs w:val="20"/>
        </w:rPr>
        <w:t xml:space="preserve">Tabela </w:t>
      </w:r>
      <w:r w:rsidR="00B46635">
        <w:rPr>
          <w:rFonts w:ascii="Arial" w:hAnsi="Arial" w:cs="Arial"/>
          <w:noProof/>
          <w:sz w:val="20"/>
          <w:szCs w:val="20"/>
        </w:rPr>
        <w:t>1</w:t>
      </w:r>
      <w:r w:rsidRPr="00E564A6">
        <w:rPr>
          <w:rFonts w:ascii="Arial" w:hAnsi="Arial" w:cs="Arial"/>
          <w:sz w:val="20"/>
          <w:szCs w:val="20"/>
        </w:rPr>
        <w:noBreakHyphen/>
      </w:r>
      <w:r w:rsidRPr="00E564A6">
        <w:rPr>
          <w:rFonts w:ascii="Arial" w:hAnsi="Arial" w:cs="Arial"/>
          <w:sz w:val="20"/>
          <w:szCs w:val="20"/>
        </w:rPr>
        <w:fldChar w:fldCharType="begin"/>
      </w:r>
      <w:r w:rsidRPr="00E564A6">
        <w:rPr>
          <w:rFonts w:ascii="Arial" w:hAnsi="Arial" w:cs="Arial"/>
          <w:sz w:val="20"/>
          <w:szCs w:val="20"/>
        </w:rPr>
        <w:instrText xml:space="preserve"> SEQ Tabela \* ARABIC \s 1 </w:instrText>
      </w:r>
      <w:r w:rsidRPr="00E564A6">
        <w:rPr>
          <w:rFonts w:ascii="Arial" w:hAnsi="Arial" w:cs="Arial"/>
          <w:sz w:val="20"/>
          <w:szCs w:val="20"/>
        </w:rPr>
        <w:fldChar w:fldCharType="separate"/>
      </w:r>
      <w:r w:rsidR="00B46635">
        <w:rPr>
          <w:rFonts w:ascii="Arial" w:hAnsi="Arial" w:cs="Arial"/>
          <w:noProof/>
          <w:sz w:val="20"/>
          <w:szCs w:val="20"/>
        </w:rPr>
        <w:t>1</w:t>
      </w:r>
      <w:r w:rsidRPr="00E564A6">
        <w:rPr>
          <w:rFonts w:ascii="Arial" w:hAnsi="Arial" w:cs="Arial"/>
          <w:sz w:val="20"/>
          <w:szCs w:val="20"/>
        </w:rPr>
        <w:fldChar w:fldCharType="end"/>
      </w:r>
      <w:r w:rsidRPr="00E564A6">
        <w:rPr>
          <w:rFonts w:ascii="Arial" w:hAnsi="Arial" w:cs="Arial"/>
          <w:sz w:val="20"/>
          <w:szCs w:val="20"/>
          <w:lang w:eastAsia="sl-SI"/>
        </w:rPr>
        <w:t>:</w:t>
      </w:r>
      <w:r w:rsidRPr="00E564A6">
        <w:rPr>
          <w:rFonts w:ascii="Arial" w:hAnsi="Arial" w:cs="Arial"/>
          <w:sz w:val="20"/>
          <w:szCs w:val="20"/>
        </w:rPr>
        <w:t xml:space="preserve"> Dolžina cestnega omrežja v RS</w:t>
      </w:r>
    </w:p>
    <w:tbl>
      <w:tblPr>
        <w:tblW w:w="8716" w:type="dxa"/>
        <w:tblInd w:w="55" w:type="dxa"/>
        <w:tblCellMar>
          <w:left w:w="0" w:type="dxa"/>
          <w:right w:w="0" w:type="dxa"/>
        </w:tblCellMar>
        <w:tblLook w:val="04A0" w:firstRow="1" w:lastRow="0" w:firstColumn="1" w:lastColumn="0" w:noHBand="0" w:noVBand="1"/>
      </w:tblPr>
      <w:tblGrid>
        <w:gridCol w:w="3762"/>
        <w:gridCol w:w="2123"/>
        <w:gridCol w:w="2831"/>
      </w:tblGrid>
      <w:tr w:rsidR="00D91D1F" w:rsidRPr="00D91D1F" w:rsidTr="00BF1663">
        <w:trPr>
          <w:trHeight w:val="286"/>
        </w:trPr>
        <w:tc>
          <w:tcPr>
            <w:tcW w:w="3762" w:type="dxa"/>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tcPr>
          <w:p w:rsidR="00D91D1F" w:rsidRPr="00D91D1F" w:rsidRDefault="00D91D1F" w:rsidP="00BF1663">
            <w:pPr>
              <w:rPr>
                <w:rFonts w:ascii="Arial" w:eastAsia="Calibri" w:hAnsi="Arial" w:cs="Arial"/>
                <w:sz w:val="16"/>
                <w:szCs w:val="16"/>
                <w:lang w:eastAsia="sl-SI"/>
              </w:rPr>
            </w:pPr>
            <w:r w:rsidRPr="00D91D1F">
              <w:rPr>
                <w:rFonts w:ascii="Arial" w:hAnsi="Arial" w:cs="Arial"/>
                <w:sz w:val="16"/>
                <w:szCs w:val="16"/>
                <w:lang w:eastAsia="sl-SI"/>
              </w:rPr>
              <w:t>Kategorija ceste</w:t>
            </w:r>
          </w:p>
        </w:tc>
        <w:tc>
          <w:tcPr>
            <w:tcW w:w="2123" w:type="dxa"/>
            <w:tcBorders>
              <w:top w:val="single" w:sz="8" w:space="0" w:color="000000"/>
              <w:left w:val="nil"/>
              <w:bottom w:val="single" w:sz="8" w:space="0" w:color="000000"/>
              <w:right w:val="single" w:sz="8" w:space="0" w:color="000000"/>
            </w:tcBorders>
            <w:tcMar>
              <w:top w:w="0" w:type="dxa"/>
              <w:left w:w="70" w:type="dxa"/>
              <w:bottom w:w="0" w:type="dxa"/>
              <w:right w:w="70" w:type="dxa"/>
            </w:tcMar>
            <w:vAlign w:val="center"/>
          </w:tcPr>
          <w:p w:rsidR="00D91D1F" w:rsidRPr="00D91D1F" w:rsidRDefault="00D91D1F" w:rsidP="00BF1663">
            <w:pPr>
              <w:jc w:val="center"/>
              <w:rPr>
                <w:rFonts w:ascii="Arial" w:eastAsia="Calibri" w:hAnsi="Arial" w:cs="Arial"/>
                <w:sz w:val="16"/>
                <w:szCs w:val="16"/>
                <w:lang w:eastAsia="sl-SI"/>
              </w:rPr>
            </w:pPr>
            <w:r w:rsidRPr="00D91D1F">
              <w:rPr>
                <w:rFonts w:ascii="Arial" w:hAnsi="Arial" w:cs="Arial"/>
                <w:sz w:val="16"/>
                <w:szCs w:val="16"/>
                <w:lang w:eastAsia="sl-SI"/>
              </w:rPr>
              <w:t>Dolžina v km</w:t>
            </w:r>
          </w:p>
        </w:tc>
        <w:tc>
          <w:tcPr>
            <w:tcW w:w="2831" w:type="dxa"/>
            <w:tcBorders>
              <w:top w:val="single" w:sz="8" w:space="0" w:color="000000"/>
              <w:left w:val="nil"/>
              <w:bottom w:val="single" w:sz="8" w:space="0" w:color="000000"/>
              <w:right w:val="single" w:sz="8" w:space="0" w:color="000000"/>
            </w:tcBorders>
            <w:tcMar>
              <w:top w:w="0" w:type="dxa"/>
              <w:left w:w="70" w:type="dxa"/>
              <w:bottom w:w="0" w:type="dxa"/>
              <w:right w:w="70" w:type="dxa"/>
            </w:tcMar>
            <w:vAlign w:val="center"/>
          </w:tcPr>
          <w:p w:rsidR="00D91D1F" w:rsidRPr="00D91D1F" w:rsidRDefault="00D91D1F" w:rsidP="00BF1663">
            <w:pPr>
              <w:rPr>
                <w:rFonts w:ascii="Arial" w:eastAsia="Calibri" w:hAnsi="Arial" w:cs="Arial"/>
                <w:sz w:val="16"/>
                <w:szCs w:val="16"/>
                <w:lang w:eastAsia="sl-SI"/>
              </w:rPr>
            </w:pPr>
            <w:r w:rsidRPr="00D91D1F">
              <w:rPr>
                <w:rFonts w:ascii="Arial" w:hAnsi="Arial" w:cs="Arial"/>
                <w:sz w:val="16"/>
                <w:szCs w:val="16"/>
                <w:lang w:eastAsia="sl-SI"/>
              </w:rPr>
              <w:t>Upravljavec</w:t>
            </w:r>
          </w:p>
        </w:tc>
      </w:tr>
      <w:tr w:rsidR="00D91D1F" w:rsidRPr="00D91D1F" w:rsidTr="00BF1663">
        <w:trPr>
          <w:trHeight w:val="286"/>
        </w:trPr>
        <w:tc>
          <w:tcPr>
            <w:tcW w:w="3762" w:type="dxa"/>
            <w:tcBorders>
              <w:top w:val="nil"/>
              <w:left w:val="single" w:sz="8" w:space="0" w:color="000000"/>
              <w:bottom w:val="single" w:sz="8" w:space="0" w:color="000000"/>
              <w:right w:val="single" w:sz="8" w:space="0" w:color="000000"/>
            </w:tcBorders>
            <w:tcMar>
              <w:top w:w="0" w:type="dxa"/>
              <w:left w:w="70" w:type="dxa"/>
              <w:bottom w:w="0" w:type="dxa"/>
              <w:right w:w="70" w:type="dxa"/>
            </w:tcMar>
            <w:vAlign w:val="center"/>
          </w:tcPr>
          <w:p w:rsidR="00D91D1F" w:rsidRPr="00D91D1F" w:rsidRDefault="00D91D1F" w:rsidP="00BF1663">
            <w:pPr>
              <w:rPr>
                <w:rFonts w:ascii="Arial" w:eastAsia="Calibri" w:hAnsi="Arial" w:cs="Arial"/>
                <w:sz w:val="16"/>
                <w:szCs w:val="16"/>
                <w:lang w:eastAsia="sl-SI"/>
              </w:rPr>
            </w:pPr>
            <w:r w:rsidRPr="00D91D1F">
              <w:rPr>
                <w:rFonts w:ascii="Arial" w:hAnsi="Arial" w:cs="Arial"/>
                <w:sz w:val="16"/>
                <w:szCs w:val="16"/>
                <w:lang w:eastAsia="sl-SI"/>
              </w:rPr>
              <w:t>Avtoceste in hitre ceste</w:t>
            </w:r>
          </w:p>
        </w:tc>
        <w:tc>
          <w:tcPr>
            <w:tcW w:w="2123" w:type="dxa"/>
            <w:tcBorders>
              <w:top w:val="nil"/>
              <w:left w:val="nil"/>
              <w:bottom w:val="single" w:sz="8" w:space="0" w:color="000000"/>
              <w:right w:val="single" w:sz="8" w:space="0" w:color="000000"/>
            </w:tcBorders>
            <w:tcMar>
              <w:top w:w="0" w:type="dxa"/>
              <w:left w:w="70" w:type="dxa"/>
              <w:bottom w:w="0" w:type="dxa"/>
              <w:right w:w="70" w:type="dxa"/>
            </w:tcMar>
            <w:vAlign w:val="center"/>
          </w:tcPr>
          <w:p w:rsidR="00D91D1F" w:rsidRPr="00D91D1F" w:rsidRDefault="00D91D1F" w:rsidP="00BF1663">
            <w:pPr>
              <w:jc w:val="center"/>
              <w:rPr>
                <w:rFonts w:ascii="Arial" w:eastAsia="Calibri" w:hAnsi="Arial" w:cs="Arial"/>
                <w:sz w:val="16"/>
                <w:szCs w:val="16"/>
                <w:lang w:eastAsia="sl-SI"/>
              </w:rPr>
            </w:pPr>
            <w:r w:rsidRPr="00D91D1F">
              <w:rPr>
                <w:rFonts w:ascii="Arial" w:hAnsi="Arial" w:cs="Arial"/>
                <w:sz w:val="16"/>
                <w:szCs w:val="16"/>
                <w:lang w:eastAsia="sl-SI"/>
              </w:rPr>
              <w:t>746</w:t>
            </w:r>
          </w:p>
        </w:tc>
        <w:tc>
          <w:tcPr>
            <w:tcW w:w="2831" w:type="dxa"/>
            <w:tcBorders>
              <w:top w:val="nil"/>
              <w:left w:val="nil"/>
              <w:bottom w:val="single" w:sz="8" w:space="0" w:color="000000"/>
              <w:right w:val="single" w:sz="8" w:space="0" w:color="000000"/>
            </w:tcBorders>
            <w:tcMar>
              <w:top w:w="0" w:type="dxa"/>
              <w:left w:w="70" w:type="dxa"/>
              <w:bottom w:w="0" w:type="dxa"/>
              <w:right w:w="70" w:type="dxa"/>
            </w:tcMar>
            <w:vAlign w:val="center"/>
          </w:tcPr>
          <w:p w:rsidR="00D91D1F" w:rsidRPr="00D91D1F" w:rsidRDefault="00D91D1F" w:rsidP="00BF1663">
            <w:pPr>
              <w:rPr>
                <w:rFonts w:ascii="Arial" w:eastAsia="Calibri" w:hAnsi="Arial" w:cs="Arial"/>
                <w:sz w:val="16"/>
                <w:szCs w:val="16"/>
                <w:lang w:eastAsia="sl-SI"/>
              </w:rPr>
            </w:pPr>
            <w:r w:rsidRPr="00D91D1F">
              <w:rPr>
                <w:rFonts w:ascii="Arial" w:hAnsi="Arial" w:cs="Arial"/>
                <w:sz w:val="16"/>
                <w:szCs w:val="16"/>
                <w:lang w:eastAsia="sl-SI"/>
              </w:rPr>
              <w:t>DARS d.d.</w:t>
            </w:r>
          </w:p>
        </w:tc>
      </w:tr>
      <w:tr w:rsidR="00D91D1F" w:rsidRPr="00D91D1F" w:rsidTr="00BF1663">
        <w:trPr>
          <w:trHeight w:val="286"/>
        </w:trPr>
        <w:tc>
          <w:tcPr>
            <w:tcW w:w="3762" w:type="dxa"/>
            <w:tcBorders>
              <w:top w:val="nil"/>
              <w:left w:val="single" w:sz="8" w:space="0" w:color="000000"/>
              <w:bottom w:val="single" w:sz="8" w:space="0" w:color="000000"/>
              <w:right w:val="single" w:sz="8" w:space="0" w:color="000000"/>
            </w:tcBorders>
            <w:tcMar>
              <w:top w:w="0" w:type="dxa"/>
              <w:left w:w="70" w:type="dxa"/>
              <w:bottom w:w="0" w:type="dxa"/>
              <w:right w:w="70" w:type="dxa"/>
            </w:tcMar>
            <w:vAlign w:val="center"/>
          </w:tcPr>
          <w:p w:rsidR="00D91D1F" w:rsidRPr="00D91D1F" w:rsidRDefault="00D91D1F" w:rsidP="00BF1663">
            <w:pPr>
              <w:rPr>
                <w:rFonts w:ascii="Arial" w:eastAsia="Calibri" w:hAnsi="Arial" w:cs="Arial"/>
                <w:sz w:val="16"/>
                <w:szCs w:val="16"/>
                <w:lang w:eastAsia="sl-SI"/>
              </w:rPr>
            </w:pPr>
            <w:r w:rsidRPr="00D91D1F">
              <w:rPr>
                <w:rFonts w:ascii="Arial" w:hAnsi="Arial" w:cs="Arial"/>
                <w:sz w:val="16"/>
                <w:szCs w:val="16"/>
                <w:lang w:eastAsia="sl-SI"/>
              </w:rPr>
              <w:t>Glavne ceste</w:t>
            </w:r>
          </w:p>
        </w:tc>
        <w:tc>
          <w:tcPr>
            <w:tcW w:w="2123" w:type="dxa"/>
            <w:tcBorders>
              <w:top w:val="nil"/>
              <w:left w:val="nil"/>
              <w:bottom w:val="single" w:sz="8" w:space="0" w:color="000000"/>
              <w:right w:val="single" w:sz="8" w:space="0" w:color="000000"/>
            </w:tcBorders>
            <w:tcMar>
              <w:top w:w="0" w:type="dxa"/>
              <w:left w:w="70" w:type="dxa"/>
              <w:bottom w:w="0" w:type="dxa"/>
              <w:right w:w="70" w:type="dxa"/>
            </w:tcMar>
            <w:vAlign w:val="center"/>
          </w:tcPr>
          <w:p w:rsidR="00D91D1F" w:rsidRPr="00D91D1F" w:rsidRDefault="00D91D1F" w:rsidP="00BF1663">
            <w:pPr>
              <w:jc w:val="center"/>
              <w:rPr>
                <w:rFonts w:ascii="Arial" w:eastAsia="Calibri" w:hAnsi="Arial" w:cs="Arial"/>
                <w:sz w:val="16"/>
                <w:szCs w:val="16"/>
                <w:lang w:eastAsia="sl-SI"/>
              </w:rPr>
            </w:pPr>
            <w:r w:rsidRPr="00D91D1F">
              <w:rPr>
                <w:rFonts w:ascii="Arial" w:hAnsi="Arial" w:cs="Arial"/>
                <w:sz w:val="16"/>
                <w:szCs w:val="16"/>
                <w:lang w:eastAsia="sl-SI"/>
              </w:rPr>
              <w:t>819</w:t>
            </w:r>
          </w:p>
        </w:tc>
        <w:tc>
          <w:tcPr>
            <w:tcW w:w="2831" w:type="dxa"/>
            <w:tcBorders>
              <w:top w:val="nil"/>
              <w:left w:val="nil"/>
              <w:bottom w:val="single" w:sz="8" w:space="0" w:color="000000"/>
              <w:right w:val="single" w:sz="8" w:space="0" w:color="000000"/>
            </w:tcBorders>
            <w:tcMar>
              <w:top w:w="0" w:type="dxa"/>
              <w:left w:w="70" w:type="dxa"/>
              <w:bottom w:w="0" w:type="dxa"/>
              <w:right w:w="70" w:type="dxa"/>
            </w:tcMar>
            <w:vAlign w:val="center"/>
          </w:tcPr>
          <w:p w:rsidR="00D91D1F" w:rsidRPr="00D91D1F" w:rsidRDefault="00D91D1F" w:rsidP="00BF1663">
            <w:pPr>
              <w:rPr>
                <w:rFonts w:ascii="Arial" w:eastAsia="Calibri" w:hAnsi="Arial" w:cs="Arial"/>
                <w:sz w:val="16"/>
                <w:szCs w:val="16"/>
                <w:lang w:eastAsia="sl-SI"/>
              </w:rPr>
            </w:pPr>
            <w:r w:rsidRPr="00D91D1F">
              <w:rPr>
                <w:rFonts w:ascii="Arial" w:hAnsi="Arial" w:cs="Arial"/>
                <w:sz w:val="16"/>
                <w:szCs w:val="16"/>
                <w:lang w:eastAsia="sl-SI"/>
              </w:rPr>
              <w:t>DRSI</w:t>
            </w:r>
          </w:p>
        </w:tc>
      </w:tr>
      <w:tr w:rsidR="00D91D1F" w:rsidRPr="00D91D1F" w:rsidTr="00BF1663">
        <w:trPr>
          <w:trHeight w:val="286"/>
        </w:trPr>
        <w:tc>
          <w:tcPr>
            <w:tcW w:w="3762" w:type="dxa"/>
            <w:tcBorders>
              <w:top w:val="nil"/>
              <w:left w:val="single" w:sz="8" w:space="0" w:color="000000"/>
              <w:bottom w:val="single" w:sz="8" w:space="0" w:color="000000"/>
              <w:right w:val="single" w:sz="8" w:space="0" w:color="000000"/>
            </w:tcBorders>
            <w:tcMar>
              <w:top w:w="0" w:type="dxa"/>
              <w:left w:w="70" w:type="dxa"/>
              <w:bottom w:w="0" w:type="dxa"/>
              <w:right w:w="70" w:type="dxa"/>
            </w:tcMar>
            <w:vAlign w:val="center"/>
          </w:tcPr>
          <w:p w:rsidR="00D91D1F" w:rsidRPr="00D91D1F" w:rsidRDefault="00D91D1F" w:rsidP="00BF1663">
            <w:pPr>
              <w:rPr>
                <w:rFonts w:ascii="Arial" w:eastAsia="Calibri" w:hAnsi="Arial" w:cs="Arial"/>
                <w:sz w:val="16"/>
                <w:szCs w:val="16"/>
                <w:lang w:eastAsia="sl-SI"/>
              </w:rPr>
            </w:pPr>
            <w:r w:rsidRPr="00D91D1F">
              <w:rPr>
                <w:rFonts w:ascii="Arial" w:hAnsi="Arial" w:cs="Arial"/>
                <w:sz w:val="16"/>
                <w:szCs w:val="16"/>
                <w:lang w:eastAsia="sl-SI"/>
              </w:rPr>
              <w:t>Regionalne ceste</w:t>
            </w:r>
          </w:p>
        </w:tc>
        <w:tc>
          <w:tcPr>
            <w:tcW w:w="2123" w:type="dxa"/>
            <w:tcBorders>
              <w:top w:val="nil"/>
              <w:left w:val="nil"/>
              <w:bottom w:val="single" w:sz="8" w:space="0" w:color="000000"/>
              <w:right w:val="single" w:sz="8" w:space="0" w:color="000000"/>
            </w:tcBorders>
            <w:tcMar>
              <w:top w:w="0" w:type="dxa"/>
              <w:left w:w="70" w:type="dxa"/>
              <w:bottom w:w="0" w:type="dxa"/>
              <w:right w:w="70" w:type="dxa"/>
            </w:tcMar>
            <w:vAlign w:val="center"/>
          </w:tcPr>
          <w:p w:rsidR="00D91D1F" w:rsidRPr="00D91D1F" w:rsidRDefault="00D91D1F" w:rsidP="00BF1663">
            <w:pPr>
              <w:jc w:val="center"/>
              <w:rPr>
                <w:rFonts w:ascii="Arial" w:eastAsia="Calibri" w:hAnsi="Arial" w:cs="Arial"/>
                <w:sz w:val="16"/>
                <w:szCs w:val="16"/>
                <w:lang w:eastAsia="sl-SI"/>
              </w:rPr>
            </w:pPr>
            <w:r w:rsidRPr="00D91D1F">
              <w:rPr>
                <w:rFonts w:ascii="Arial" w:hAnsi="Arial" w:cs="Arial"/>
                <w:sz w:val="16"/>
                <w:szCs w:val="16"/>
                <w:lang w:eastAsia="sl-SI"/>
              </w:rPr>
              <w:t>5.117</w:t>
            </w:r>
          </w:p>
        </w:tc>
        <w:tc>
          <w:tcPr>
            <w:tcW w:w="2831" w:type="dxa"/>
            <w:tcBorders>
              <w:top w:val="nil"/>
              <w:left w:val="nil"/>
              <w:bottom w:val="single" w:sz="8" w:space="0" w:color="000000"/>
              <w:right w:val="single" w:sz="8" w:space="0" w:color="000000"/>
            </w:tcBorders>
            <w:tcMar>
              <w:top w:w="0" w:type="dxa"/>
              <w:left w:w="70" w:type="dxa"/>
              <w:bottom w:w="0" w:type="dxa"/>
              <w:right w:w="70" w:type="dxa"/>
            </w:tcMar>
            <w:vAlign w:val="center"/>
          </w:tcPr>
          <w:p w:rsidR="00D91D1F" w:rsidRPr="00D91D1F" w:rsidRDefault="00D91D1F" w:rsidP="00BF1663">
            <w:pPr>
              <w:rPr>
                <w:rFonts w:ascii="Arial" w:eastAsia="Calibri" w:hAnsi="Arial" w:cs="Arial"/>
                <w:sz w:val="16"/>
                <w:szCs w:val="16"/>
                <w:lang w:eastAsia="sl-SI"/>
              </w:rPr>
            </w:pPr>
            <w:r w:rsidRPr="00D91D1F">
              <w:rPr>
                <w:rFonts w:ascii="Arial" w:hAnsi="Arial" w:cs="Arial"/>
                <w:sz w:val="16"/>
                <w:szCs w:val="16"/>
                <w:lang w:eastAsia="sl-SI"/>
              </w:rPr>
              <w:t>DRSI</w:t>
            </w:r>
          </w:p>
        </w:tc>
      </w:tr>
      <w:tr w:rsidR="00D91D1F" w:rsidRPr="00D91D1F" w:rsidTr="00BF1663">
        <w:trPr>
          <w:trHeight w:val="286"/>
        </w:trPr>
        <w:tc>
          <w:tcPr>
            <w:tcW w:w="3762" w:type="dxa"/>
            <w:tcBorders>
              <w:top w:val="nil"/>
              <w:left w:val="single" w:sz="8" w:space="0" w:color="000000"/>
              <w:bottom w:val="single" w:sz="8" w:space="0" w:color="000000"/>
              <w:right w:val="single" w:sz="8" w:space="0" w:color="000000"/>
            </w:tcBorders>
            <w:tcMar>
              <w:top w:w="0" w:type="dxa"/>
              <w:left w:w="70" w:type="dxa"/>
              <w:bottom w:w="0" w:type="dxa"/>
              <w:right w:w="70" w:type="dxa"/>
            </w:tcMar>
            <w:vAlign w:val="center"/>
          </w:tcPr>
          <w:p w:rsidR="00D91D1F" w:rsidRPr="00D91D1F" w:rsidRDefault="00D91D1F" w:rsidP="00BF1663">
            <w:pPr>
              <w:rPr>
                <w:rFonts w:ascii="Arial" w:eastAsia="Calibri" w:hAnsi="Arial" w:cs="Arial"/>
                <w:sz w:val="16"/>
                <w:szCs w:val="16"/>
                <w:lang w:eastAsia="sl-SI"/>
              </w:rPr>
            </w:pPr>
            <w:r w:rsidRPr="00D91D1F">
              <w:rPr>
                <w:rFonts w:ascii="Arial" w:hAnsi="Arial" w:cs="Arial"/>
                <w:sz w:val="16"/>
                <w:szCs w:val="16"/>
                <w:lang w:eastAsia="sl-SI"/>
              </w:rPr>
              <w:t>Lokalne ceste</w:t>
            </w:r>
          </w:p>
        </w:tc>
        <w:tc>
          <w:tcPr>
            <w:tcW w:w="2123" w:type="dxa"/>
            <w:tcBorders>
              <w:top w:val="nil"/>
              <w:left w:val="nil"/>
              <w:bottom w:val="single" w:sz="8" w:space="0" w:color="000000"/>
              <w:right w:val="single" w:sz="8" w:space="0" w:color="000000"/>
            </w:tcBorders>
            <w:tcMar>
              <w:top w:w="0" w:type="dxa"/>
              <w:left w:w="70" w:type="dxa"/>
              <w:bottom w:w="0" w:type="dxa"/>
              <w:right w:w="70" w:type="dxa"/>
            </w:tcMar>
            <w:vAlign w:val="center"/>
          </w:tcPr>
          <w:p w:rsidR="00D91D1F" w:rsidRPr="00D91D1F" w:rsidRDefault="00D91D1F" w:rsidP="00BF1663">
            <w:pPr>
              <w:jc w:val="center"/>
              <w:rPr>
                <w:rFonts w:ascii="Arial" w:eastAsia="Calibri" w:hAnsi="Arial" w:cs="Arial"/>
                <w:sz w:val="16"/>
                <w:szCs w:val="16"/>
                <w:lang w:eastAsia="sl-SI"/>
              </w:rPr>
            </w:pPr>
            <w:r w:rsidRPr="00D91D1F">
              <w:rPr>
                <w:rFonts w:ascii="Arial" w:hAnsi="Arial" w:cs="Arial"/>
                <w:sz w:val="16"/>
                <w:szCs w:val="16"/>
                <w:lang w:eastAsia="sl-SI"/>
              </w:rPr>
              <w:t>13.598</w:t>
            </w:r>
          </w:p>
        </w:tc>
        <w:tc>
          <w:tcPr>
            <w:tcW w:w="2831" w:type="dxa"/>
            <w:tcBorders>
              <w:top w:val="nil"/>
              <w:left w:val="nil"/>
              <w:bottom w:val="single" w:sz="8" w:space="0" w:color="000000"/>
              <w:right w:val="single" w:sz="8" w:space="0" w:color="000000"/>
            </w:tcBorders>
            <w:tcMar>
              <w:top w:w="0" w:type="dxa"/>
              <w:left w:w="70" w:type="dxa"/>
              <w:bottom w:w="0" w:type="dxa"/>
              <w:right w:w="70" w:type="dxa"/>
            </w:tcMar>
            <w:vAlign w:val="center"/>
          </w:tcPr>
          <w:p w:rsidR="00D91D1F" w:rsidRPr="00D91D1F" w:rsidRDefault="00D91D1F" w:rsidP="00BF1663">
            <w:pPr>
              <w:rPr>
                <w:rFonts w:ascii="Arial" w:eastAsia="Calibri" w:hAnsi="Arial" w:cs="Arial"/>
                <w:sz w:val="16"/>
                <w:szCs w:val="16"/>
                <w:lang w:eastAsia="sl-SI"/>
              </w:rPr>
            </w:pPr>
            <w:r w:rsidRPr="00D91D1F">
              <w:rPr>
                <w:rFonts w:ascii="Arial" w:hAnsi="Arial" w:cs="Arial"/>
                <w:sz w:val="16"/>
                <w:szCs w:val="16"/>
                <w:lang w:eastAsia="sl-SI"/>
              </w:rPr>
              <w:t>Lokalne skupnosti</w:t>
            </w:r>
          </w:p>
        </w:tc>
      </w:tr>
      <w:tr w:rsidR="00D91D1F" w:rsidRPr="00D91D1F" w:rsidTr="00BF1663">
        <w:trPr>
          <w:trHeight w:val="286"/>
        </w:trPr>
        <w:tc>
          <w:tcPr>
            <w:tcW w:w="3762" w:type="dxa"/>
            <w:tcBorders>
              <w:top w:val="nil"/>
              <w:left w:val="single" w:sz="8" w:space="0" w:color="000000"/>
              <w:bottom w:val="nil"/>
              <w:right w:val="single" w:sz="8" w:space="0" w:color="000000"/>
            </w:tcBorders>
            <w:tcMar>
              <w:top w:w="0" w:type="dxa"/>
              <w:left w:w="70" w:type="dxa"/>
              <w:bottom w:w="0" w:type="dxa"/>
              <w:right w:w="70" w:type="dxa"/>
            </w:tcMar>
            <w:vAlign w:val="center"/>
          </w:tcPr>
          <w:p w:rsidR="00D91D1F" w:rsidRPr="00D91D1F" w:rsidRDefault="00D91D1F" w:rsidP="00BF1663">
            <w:pPr>
              <w:rPr>
                <w:rFonts w:ascii="Arial" w:eastAsia="Calibri" w:hAnsi="Arial" w:cs="Arial"/>
                <w:sz w:val="16"/>
                <w:szCs w:val="16"/>
                <w:lang w:eastAsia="sl-SI"/>
              </w:rPr>
            </w:pPr>
            <w:r w:rsidRPr="00D91D1F">
              <w:rPr>
                <w:rFonts w:ascii="Arial" w:hAnsi="Arial" w:cs="Arial"/>
                <w:sz w:val="16"/>
                <w:szCs w:val="16"/>
                <w:lang w:eastAsia="sl-SI"/>
              </w:rPr>
              <w:t>Javne poti</w:t>
            </w:r>
          </w:p>
        </w:tc>
        <w:tc>
          <w:tcPr>
            <w:tcW w:w="2123" w:type="dxa"/>
            <w:tcBorders>
              <w:top w:val="nil"/>
              <w:left w:val="nil"/>
              <w:bottom w:val="nil"/>
              <w:right w:val="single" w:sz="8" w:space="0" w:color="000000"/>
            </w:tcBorders>
            <w:tcMar>
              <w:top w:w="0" w:type="dxa"/>
              <w:left w:w="70" w:type="dxa"/>
              <w:bottom w:w="0" w:type="dxa"/>
              <w:right w:w="70" w:type="dxa"/>
            </w:tcMar>
            <w:vAlign w:val="center"/>
          </w:tcPr>
          <w:p w:rsidR="00D91D1F" w:rsidRPr="00D91D1F" w:rsidRDefault="00D91D1F" w:rsidP="00BF1663">
            <w:pPr>
              <w:jc w:val="center"/>
              <w:rPr>
                <w:rFonts w:ascii="Arial" w:eastAsia="Calibri" w:hAnsi="Arial" w:cs="Arial"/>
                <w:sz w:val="16"/>
                <w:szCs w:val="16"/>
                <w:lang w:eastAsia="sl-SI"/>
              </w:rPr>
            </w:pPr>
            <w:r w:rsidRPr="00D91D1F">
              <w:rPr>
                <w:rFonts w:ascii="Arial" w:hAnsi="Arial" w:cs="Arial"/>
                <w:sz w:val="16"/>
                <w:szCs w:val="16"/>
                <w:lang w:eastAsia="sl-SI"/>
              </w:rPr>
              <w:t>18.626</w:t>
            </w:r>
          </w:p>
        </w:tc>
        <w:tc>
          <w:tcPr>
            <w:tcW w:w="2831" w:type="dxa"/>
            <w:tcBorders>
              <w:top w:val="nil"/>
              <w:left w:val="nil"/>
              <w:bottom w:val="nil"/>
              <w:right w:val="single" w:sz="8" w:space="0" w:color="000000"/>
            </w:tcBorders>
            <w:tcMar>
              <w:top w:w="0" w:type="dxa"/>
              <w:left w:w="70" w:type="dxa"/>
              <w:bottom w:w="0" w:type="dxa"/>
              <w:right w:w="70" w:type="dxa"/>
            </w:tcMar>
            <w:vAlign w:val="center"/>
          </w:tcPr>
          <w:p w:rsidR="00D91D1F" w:rsidRPr="00D91D1F" w:rsidRDefault="00D91D1F" w:rsidP="00BF1663">
            <w:pPr>
              <w:rPr>
                <w:rFonts w:ascii="Arial" w:eastAsia="Calibri" w:hAnsi="Arial" w:cs="Arial"/>
                <w:sz w:val="16"/>
                <w:szCs w:val="16"/>
                <w:lang w:eastAsia="sl-SI"/>
              </w:rPr>
            </w:pPr>
            <w:r w:rsidRPr="00D91D1F">
              <w:rPr>
                <w:rFonts w:ascii="Arial" w:hAnsi="Arial" w:cs="Arial"/>
                <w:sz w:val="16"/>
                <w:szCs w:val="16"/>
                <w:lang w:eastAsia="sl-SI"/>
              </w:rPr>
              <w:t>Lokalne skupnosti</w:t>
            </w:r>
          </w:p>
        </w:tc>
      </w:tr>
      <w:tr w:rsidR="00D91D1F" w:rsidRPr="00D91D1F" w:rsidTr="00BF1663">
        <w:trPr>
          <w:trHeight w:val="286"/>
        </w:trPr>
        <w:tc>
          <w:tcPr>
            <w:tcW w:w="3762" w:type="dxa"/>
            <w:tcBorders>
              <w:top w:val="single" w:sz="8" w:space="0" w:color="auto"/>
              <w:left w:val="single" w:sz="8" w:space="0" w:color="auto"/>
              <w:bottom w:val="single" w:sz="8" w:space="0" w:color="auto"/>
              <w:right w:val="single" w:sz="8" w:space="0" w:color="auto"/>
            </w:tcBorders>
            <w:shd w:val="clear" w:color="auto" w:fill="FDE9D9"/>
            <w:noWrap/>
            <w:tcMar>
              <w:top w:w="0" w:type="dxa"/>
              <w:left w:w="70" w:type="dxa"/>
              <w:bottom w:w="0" w:type="dxa"/>
              <w:right w:w="70" w:type="dxa"/>
            </w:tcMar>
            <w:vAlign w:val="bottom"/>
          </w:tcPr>
          <w:p w:rsidR="00D91D1F" w:rsidRPr="00D91D1F" w:rsidRDefault="00D91D1F" w:rsidP="00BF1663">
            <w:pPr>
              <w:rPr>
                <w:rFonts w:ascii="Arial" w:eastAsia="Calibri" w:hAnsi="Arial" w:cs="Arial"/>
                <w:sz w:val="16"/>
                <w:szCs w:val="16"/>
                <w:lang w:eastAsia="sl-SI"/>
              </w:rPr>
            </w:pPr>
            <w:r w:rsidRPr="00D91D1F">
              <w:rPr>
                <w:rFonts w:ascii="Arial" w:hAnsi="Arial" w:cs="Arial"/>
                <w:sz w:val="16"/>
                <w:szCs w:val="16"/>
                <w:lang w:eastAsia="sl-SI"/>
              </w:rPr>
              <w:t>Skupaj vse ceste</w:t>
            </w:r>
          </w:p>
        </w:tc>
        <w:tc>
          <w:tcPr>
            <w:tcW w:w="2123" w:type="dxa"/>
            <w:tcBorders>
              <w:top w:val="single" w:sz="8" w:space="0" w:color="auto"/>
              <w:left w:val="nil"/>
              <w:bottom w:val="single" w:sz="8" w:space="0" w:color="auto"/>
              <w:right w:val="single" w:sz="8" w:space="0" w:color="auto"/>
            </w:tcBorders>
            <w:shd w:val="clear" w:color="auto" w:fill="FDE9D9"/>
            <w:noWrap/>
            <w:tcMar>
              <w:top w:w="0" w:type="dxa"/>
              <w:left w:w="70" w:type="dxa"/>
              <w:bottom w:w="0" w:type="dxa"/>
              <w:right w:w="70" w:type="dxa"/>
            </w:tcMar>
            <w:vAlign w:val="bottom"/>
          </w:tcPr>
          <w:p w:rsidR="00D91D1F" w:rsidRPr="00D91D1F" w:rsidRDefault="00D91D1F" w:rsidP="00BF1663">
            <w:pPr>
              <w:jc w:val="center"/>
              <w:rPr>
                <w:rFonts w:ascii="Arial" w:eastAsia="Calibri" w:hAnsi="Arial" w:cs="Arial"/>
                <w:sz w:val="16"/>
                <w:szCs w:val="16"/>
                <w:lang w:eastAsia="sl-SI"/>
              </w:rPr>
            </w:pPr>
            <w:r w:rsidRPr="00D91D1F">
              <w:rPr>
                <w:rFonts w:ascii="Arial" w:hAnsi="Arial" w:cs="Arial"/>
                <w:sz w:val="16"/>
                <w:szCs w:val="16"/>
                <w:lang w:eastAsia="sl-SI"/>
              </w:rPr>
              <w:t>38.906</w:t>
            </w:r>
          </w:p>
        </w:tc>
        <w:tc>
          <w:tcPr>
            <w:tcW w:w="2831" w:type="dxa"/>
            <w:vMerge w:val="restart"/>
            <w:tcBorders>
              <w:top w:val="single" w:sz="8" w:space="0" w:color="auto"/>
              <w:left w:val="nil"/>
              <w:bottom w:val="single" w:sz="8" w:space="0" w:color="000000"/>
              <w:right w:val="single" w:sz="8" w:space="0" w:color="auto"/>
            </w:tcBorders>
            <w:noWrap/>
            <w:tcMar>
              <w:top w:w="0" w:type="dxa"/>
              <w:left w:w="70" w:type="dxa"/>
              <w:bottom w:w="0" w:type="dxa"/>
              <w:right w:w="70" w:type="dxa"/>
            </w:tcMar>
            <w:vAlign w:val="bottom"/>
          </w:tcPr>
          <w:p w:rsidR="00D91D1F" w:rsidRPr="00D91D1F" w:rsidRDefault="00D91D1F" w:rsidP="00BF1663">
            <w:pPr>
              <w:jc w:val="center"/>
              <w:rPr>
                <w:rFonts w:ascii="Arial" w:eastAsia="Calibri" w:hAnsi="Arial" w:cs="Arial"/>
                <w:sz w:val="16"/>
                <w:szCs w:val="16"/>
                <w:lang w:eastAsia="sl-SI"/>
              </w:rPr>
            </w:pPr>
            <w:r w:rsidRPr="00D91D1F">
              <w:rPr>
                <w:rFonts w:ascii="Arial" w:hAnsi="Arial" w:cs="Arial"/>
                <w:sz w:val="16"/>
                <w:szCs w:val="16"/>
                <w:lang w:eastAsia="sl-SI"/>
              </w:rPr>
              <w:t> </w:t>
            </w:r>
          </w:p>
        </w:tc>
      </w:tr>
      <w:tr w:rsidR="00D91D1F" w:rsidRPr="00D91D1F" w:rsidTr="00BF1663">
        <w:trPr>
          <w:trHeight w:val="286"/>
        </w:trPr>
        <w:tc>
          <w:tcPr>
            <w:tcW w:w="3762" w:type="dxa"/>
            <w:tcBorders>
              <w:top w:val="nil"/>
              <w:left w:val="single" w:sz="8" w:space="0" w:color="auto"/>
              <w:bottom w:val="single" w:sz="8" w:space="0" w:color="auto"/>
              <w:right w:val="single" w:sz="8" w:space="0" w:color="auto"/>
            </w:tcBorders>
            <w:shd w:val="clear" w:color="auto" w:fill="DAEEF3"/>
            <w:noWrap/>
            <w:tcMar>
              <w:top w:w="0" w:type="dxa"/>
              <w:left w:w="70" w:type="dxa"/>
              <w:bottom w:w="0" w:type="dxa"/>
              <w:right w:w="70" w:type="dxa"/>
            </w:tcMar>
            <w:vAlign w:val="bottom"/>
          </w:tcPr>
          <w:p w:rsidR="00D91D1F" w:rsidRPr="00D91D1F" w:rsidRDefault="00D91D1F" w:rsidP="00BF1663">
            <w:pPr>
              <w:rPr>
                <w:rFonts w:ascii="Arial" w:eastAsia="Calibri" w:hAnsi="Arial" w:cs="Arial"/>
                <w:sz w:val="16"/>
                <w:szCs w:val="16"/>
                <w:lang w:eastAsia="sl-SI"/>
              </w:rPr>
            </w:pPr>
            <w:r w:rsidRPr="00D91D1F">
              <w:rPr>
                <w:rFonts w:ascii="Arial" w:hAnsi="Arial" w:cs="Arial"/>
                <w:sz w:val="16"/>
                <w:szCs w:val="16"/>
                <w:lang w:eastAsia="sl-SI"/>
              </w:rPr>
              <w:t>Skupaj DRSI</w:t>
            </w:r>
          </w:p>
        </w:tc>
        <w:tc>
          <w:tcPr>
            <w:tcW w:w="2123" w:type="dxa"/>
            <w:tcBorders>
              <w:top w:val="nil"/>
              <w:left w:val="nil"/>
              <w:bottom w:val="single" w:sz="8" w:space="0" w:color="auto"/>
              <w:right w:val="single" w:sz="8" w:space="0" w:color="auto"/>
            </w:tcBorders>
            <w:shd w:val="clear" w:color="auto" w:fill="DAEEF3"/>
            <w:noWrap/>
            <w:tcMar>
              <w:top w:w="0" w:type="dxa"/>
              <w:left w:w="70" w:type="dxa"/>
              <w:bottom w:w="0" w:type="dxa"/>
              <w:right w:w="70" w:type="dxa"/>
            </w:tcMar>
            <w:vAlign w:val="bottom"/>
          </w:tcPr>
          <w:p w:rsidR="00D91D1F" w:rsidRPr="00D91D1F" w:rsidRDefault="00D91D1F" w:rsidP="00BF1663">
            <w:pPr>
              <w:jc w:val="center"/>
              <w:rPr>
                <w:rFonts w:ascii="Arial" w:eastAsia="Calibri" w:hAnsi="Arial" w:cs="Arial"/>
                <w:sz w:val="16"/>
                <w:szCs w:val="16"/>
                <w:lang w:eastAsia="sl-SI"/>
              </w:rPr>
            </w:pPr>
            <w:r w:rsidRPr="00D91D1F">
              <w:rPr>
                <w:rFonts w:ascii="Arial" w:hAnsi="Arial" w:cs="Arial"/>
                <w:sz w:val="16"/>
                <w:szCs w:val="16"/>
                <w:lang w:eastAsia="sl-SI"/>
              </w:rPr>
              <w:t>5.936</w:t>
            </w:r>
          </w:p>
        </w:tc>
        <w:tc>
          <w:tcPr>
            <w:tcW w:w="0" w:type="auto"/>
            <w:vMerge/>
            <w:tcBorders>
              <w:top w:val="single" w:sz="8" w:space="0" w:color="auto"/>
              <w:left w:val="nil"/>
              <w:bottom w:val="single" w:sz="8" w:space="0" w:color="000000"/>
              <w:right w:val="single" w:sz="8" w:space="0" w:color="auto"/>
            </w:tcBorders>
            <w:vAlign w:val="center"/>
          </w:tcPr>
          <w:p w:rsidR="00D91D1F" w:rsidRPr="00D91D1F" w:rsidRDefault="00D91D1F" w:rsidP="00BF1663">
            <w:pPr>
              <w:rPr>
                <w:rFonts w:ascii="Arial" w:eastAsia="Calibri" w:hAnsi="Arial" w:cs="Arial"/>
                <w:sz w:val="16"/>
                <w:szCs w:val="16"/>
                <w:lang w:eastAsia="sl-SI"/>
              </w:rPr>
            </w:pPr>
          </w:p>
        </w:tc>
      </w:tr>
      <w:tr w:rsidR="00D91D1F" w:rsidRPr="00D91D1F" w:rsidTr="00BF1663">
        <w:trPr>
          <w:trHeight w:val="286"/>
        </w:trPr>
        <w:tc>
          <w:tcPr>
            <w:tcW w:w="3762" w:type="dxa"/>
            <w:tcBorders>
              <w:top w:val="nil"/>
              <w:left w:val="single" w:sz="8" w:space="0" w:color="auto"/>
              <w:bottom w:val="single" w:sz="8" w:space="0" w:color="auto"/>
              <w:right w:val="single" w:sz="8" w:space="0" w:color="auto"/>
            </w:tcBorders>
            <w:shd w:val="clear" w:color="auto" w:fill="EBF1DE"/>
            <w:noWrap/>
            <w:tcMar>
              <w:top w:w="0" w:type="dxa"/>
              <w:left w:w="70" w:type="dxa"/>
              <w:bottom w:w="0" w:type="dxa"/>
              <w:right w:w="70" w:type="dxa"/>
            </w:tcMar>
            <w:vAlign w:val="bottom"/>
          </w:tcPr>
          <w:p w:rsidR="00D91D1F" w:rsidRPr="00D91D1F" w:rsidRDefault="00D91D1F" w:rsidP="00BF1663">
            <w:pPr>
              <w:rPr>
                <w:rFonts w:ascii="Arial" w:eastAsia="Calibri" w:hAnsi="Arial" w:cs="Arial"/>
                <w:sz w:val="16"/>
                <w:szCs w:val="16"/>
                <w:lang w:eastAsia="sl-SI"/>
              </w:rPr>
            </w:pPr>
            <w:r w:rsidRPr="00D91D1F">
              <w:rPr>
                <w:rFonts w:ascii="Arial" w:hAnsi="Arial" w:cs="Arial"/>
                <w:sz w:val="16"/>
                <w:szCs w:val="16"/>
                <w:lang w:eastAsia="sl-SI"/>
              </w:rPr>
              <w:t>Skupaj DARS</w:t>
            </w:r>
          </w:p>
        </w:tc>
        <w:tc>
          <w:tcPr>
            <w:tcW w:w="2123" w:type="dxa"/>
            <w:tcBorders>
              <w:top w:val="nil"/>
              <w:left w:val="nil"/>
              <w:bottom w:val="single" w:sz="8" w:space="0" w:color="auto"/>
              <w:right w:val="single" w:sz="8" w:space="0" w:color="auto"/>
            </w:tcBorders>
            <w:shd w:val="clear" w:color="auto" w:fill="EBF1DE"/>
            <w:noWrap/>
            <w:tcMar>
              <w:top w:w="0" w:type="dxa"/>
              <w:left w:w="70" w:type="dxa"/>
              <w:bottom w:w="0" w:type="dxa"/>
              <w:right w:w="70" w:type="dxa"/>
            </w:tcMar>
            <w:vAlign w:val="bottom"/>
          </w:tcPr>
          <w:p w:rsidR="00D91D1F" w:rsidRPr="00D91D1F" w:rsidRDefault="00D91D1F" w:rsidP="00BF1663">
            <w:pPr>
              <w:jc w:val="center"/>
              <w:rPr>
                <w:rFonts w:ascii="Arial" w:eastAsia="Calibri" w:hAnsi="Arial" w:cs="Arial"/>
                <w:sz w:val="16"/>
                <w:szCs w:val="16"/>
                <w:lang w:eastAsia="sl-SI"/>
              </w:rPr>
            </w:pPr>
            <w:r w:rsidRPr="00D91D1F">
              <w:rPr>
                <w:rFonts w:ascii="Arial" w:hAnsi="Arial" w:cs="Arial"/>
                <w:sz w:val="16"/>
                <w:szCs w:val="16"/>
                <w:lang w:eastAsia="sl-SI"/>
              </w:rPr>
              <w:t>746</w:t>
            </w:r>
          </w:p>
        </w:tc>
        <w:tc>
          <w:tcPr>
            <w:tcW w:w="0" w:type="auto"/>
            <w:vMerge/>
            <w:tcBorders>
              <w:top w:val="single" w:sz="8" w:space="0" w:color="auto"/>
              <w:left w:val="nil"/>
              <w:bottom w:val="single" w:sz="8" w:space="0" w:color="000000"/>
              <w:right w:val="single" w:sz="8" w:space="0" w:color="auto"/>
            </w:tcBorders>
            <w:vAlign w:val="center"/>
          </w:tcPr>
          <w:p w:rsidR="00D91D1F" w:rsidRPr="00D91D1F" w:rsidRDefault="00D91D1F" w:rsidP="00BF1663">
            <w:pPr>
              <w:rPr>
                <w:rFonts w:ascii="Arial" w:eastAsia="Calibri" w:hAnsi="Arial" w:cs="Arial"/>
                <w:sz w:val="16"/>
                <w:szCs w:val="16"/>
                <w:lang w:eastAsia="sl-SI"/>
              </w:rPr>
            </w:pPr>
          </w:p>
        </w:tc>
      </w:tr>
      <w:tr w:rsidR="00D91D1F" w:rsidRPr="00D91D1F" w:rsidTr="00BF1663">
        <w:trPr>
          <w:trHeight w:val="286"/>
        </w:trPr>
        <w:tc>
          <w:tcPr>
            <w:tcW w:w="3762" w:type="dxa"/>
            <w:tcBorders>
              <w:top w:val="nil"/>
              <w:left w:val="single" w:sz="8" w:space="0" w:color="auto"/>
              <w:bottom w:val="single" w:sz="8" w:space="0" w:color="auto"/>
              <w:right w:val="single" w:sz="8" w:space="0" w:color="auto"/>
            </w:tcBorders>
            <w:shd w:val="clear" w:color="auto" w:fill="F2DCDB"/>
            <w:noWrap/>
            <w:tcMar>
              <w:top w:w="0" w:type="dxa"/>
              <w:left w:w="70" w:type="dxa"/>
              <w:bottom w:w="0" w:type="dxa"/>
              <w:right w:w="70" w:type="dxa"/>
            </w:tcMar>
            <w:vAlign w:val="bottom"/>
          </w:tcPr>
          <w:p w:rsidR="00D91D1F" w:rsidRPr="00D91D1F" w:rsidRDefault="00D91D1F" w:rsidP="00BF1663">
            <w:pPr>
              <w:rPr>
                <w:rFonts w:ascii="Arial" w:eastAsia="Calibri" w:hAnsi="Arial" w:cs="Arial"/>
                <w:sz w:val="16"/>
                <w:szCs w:val="16"/>
                <w:lang w:eastAsia="sl-SI"/>
              </w:rPr>
            </w:pPr>
            <w:r w:rsidRPr="00D91D1F">
              <w:rPr>
                <w:rFonts w:ascii="Arial" w:hAnsi="Arial" w:cs="Arial"/>
                <w:sz w:val="16"/>
                <w:szCs w:val="16"/>
                <w:lang w:eastAsia="sl-SI"/>
              </w:rPr>
              <w:t>Skupaj Lokalne skupnosti</w:t>
            </w:r>
          </w:p>
        </w:tc>
        <w:tc>
          <w:tcPr>
            <w:tcW w:w="2123" w:type="dxa"/>
            <w:tcBorders>
              <w:top w:val="nil"/>
              <w:left w:val="nil"/>
              <w:bottom w:val="single" w:sz="8" w:space="0" w:color="auto"/>
              <w:right w:val="single" w:sz="8" w:space="0" w:color="auto"/>
            </w:tcBorders>
            <w:shd w:val="clear" w:color="auto" w:fill="F2DCDB"/>
            <w:noWrap/>
            <w:tcMar>
              <w:top w:w="0" w:type="dxa"/>
              <w:left w:w="70" w:type="dxa"/>
              <w:bottom w:w="0" w:type="dxa"/>
              <w:right w:w="70" w:type="dxa"/>
            </w:tcMar>
            <w:vAlign w:val="bottom"/>
          </w:tcPr>
          <w:p w:rsidR="00D91D1F" w:rsidRPr="00D91D1F" w:rsidRDefault="00D91D1F" w:rsidP="00BF1663">
            <w:pPr>
              <w:jc w:val="center"/>
              <w:rPr>
                <w:rFonts w:ascii="Arial" w:eastAsia="Calibri" w:hAnsi="Arial" w:cs="Arial"/>
                <w:sz w:val="16"/>
                <w:szCs w:val="16"/>
                <w:lang w:eastAsia="sl-SI"/>
              </w:rPr>
            </w:pPr>
            <w:r w:rsidRPr="00D91D1F">
              <w:rPr>
                <w:rFonts w:ascii="Arial" w:hAnsi="Arial" w:cs="Arial"/>
                <w:sz w:val="16"/>
                <w:szCs w:val="16"/>
                <w:lang w:eastAsia="sl-SI"/>
              </w:rPr>
              <w:t>32.224</w:t>
            </w:r>
          </w:p>
        </w:tc>
        <w:tc>
          <w:tcPr>
            <w:tcW w:w="0" w:type="auto"/>
            <w:vMerge/>
            <w:tcBorders>
              <w:top w:val="single" w:sz="8" w:space="0" w:color="auto"/>
              <w:left w:val="nil"/>
              <w:bottom w:val="single" w:sz="8" w:space="0" w:color="000000"/>
              <w:right w:val="single" w:sz="8" w:space="0" w:color="auto"/>
            </w:tcBorders>
            <w:vAlign w:val="center"/>
          </w:tcPr>
          <w:p w:rsidR="00D91D1F" w:rsidRPr="00D91D1F" w:rsidRDefault="00D91D1F" w:rsidP="00BF1663">
            <w:pPr>
              <w:rPr>
                <w:rFonts w:ascii="Arial" w:eastAsia="Calibri" w:hAnsi="Arial" w:cs="Arial"/>
                <w:sz w:val="16"/>
                <w:szCs w:val="16"/>
                <w:lang w:eastAsia="sl-SI"/>
              </w:rPr>
            </w:pPr>
          </w:p>
        </w:tc>
      </w:tr>
    </w:tbl>
    <w:p w:rsidR="00D91D1F" w:rsidRPr="00D91D1F" w:rsidRDefault="00D91D1F" w:rsidP="00D91D1F">
      <w:pPr>
        <w:rPr>
          <w:rFonts w:ascii="Arial" w:eastAsia="Calibri" w:hAnsi="Arial" w:cs="Arial"/>
          <w:sz w:val="16"/>
          <w:szCs w:val="16"/>
          <w:lang w:eastAsia="en-US"/>
        </w:rPr>
      </w:pPr>
      <w:r w:rsidRPr="00D91D1F">
        <w:rPr>
          <w:rFonts w:ascii="Arial" w:hAnsi="Arial" w:cs="Arial"/>
          <w:sz w:val="16"/>
          <w:szCs w:val="16"/>
        </w:rPr>
        <w:t xml:space="preserve">Vir: </w:t>
      </w:r>
      <w:hyperlink r:id="rId15" w:history="1">
        <w:r w:rsidRPr="00D91D1F">
          <w:rPr>
            <w:rStyle w:val="Hiperpovezava"/>
            <w:rFonts w:ascii="Arial" w:hAnsi="Arial" w:cs="Arial"/>
            <w:sz w:val="16"/>
            <w:szCs w:val="16"/>
          </w:rPr>
          <w:t>http://www.di.gov.si/</w:t>
        </w:r>
      </w:hyperlink>
      <w:r w:rsidRPr="00D91D1F">
        <w:rPr>
          <w:rFonts w:ascii="Arial" w:hAnsi="Arial" w:cs="Arial"/>
          <w:sz w:val="16"/>
          <w:szCs w:val="16"/>
        </w:rPr>
        <w:t xml:space="preserve"> z dne 25.11.2015</w:t>
      </w:r>
    </w:p>
    <w:p w:rsidR="00D91D1F" w:rsidRPr="00D91D1F" w:rsidRDefault="00D91D1F" w:rsidP="00D91D1F">
      <w:pPr>
        <w:jc w:val="both"/>
        <w:rPr>
          <w:rFonts w:ascii="Arial" w:hAnsi="Arial" w:cs="Arial"/>
          <w:szCs w:val="22"/>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V okviru gospodarjenja z vozišči se stanje vozišč na državnem cestnem omrežju redno spremlja in ocenjuje. Analize v Strategiji so pokazale, da se stanje vozišč poslabšuje, tako je med državnimi cestami praktično kar polovico omrežja v zelo slabem stanju. V letu 2011 je bilo zelo slabih odsekov cca 40 %, v letu 2013 pa se je številka povzpela na cca 50%. Tudi v letu 2015 je stanje podobno in sicer je cca 50% vozišč v zelo slabem stanju. Poleg vozišč je potrebno upoštevati tudi ostale dele cestnega telesa, ki jih je potrebno vzdrževati, nadgrajevati, obnavljati in posodabljati. Tu ne gre samo za voziščne konstrukcije, temveč je potrebno pri pripravi in izvedbi projektov zagotoviti celovite rešitve rekonstrukcij in obnov, ki bodo:</w:t>
      </w:r>
    </w:p>
    <w:p w:rsidR="00D91D1F" w:rsidRPr="00E564A6" w:rsidRDefault="00D91D1F" w:rsidP="00C1387F">
      <w:pPr>
        <w:numPr>
          <w:ilvl w:val="0"/>
          <w:numId w:val="22"/>
        </w:numPr>
        <w:jc w:val="both"/>
        <w:rPr>
          <w:rFonts w:ascii="Arial" w:hAnsi="Arial" w:cs="Arial"/>
          <w:sz w:val="20"/>
          <w:szCs w:val="20"/>
        </w:rPr>
      </w:pPr>
      <w:r w:rsidRPr="00E564A6">
        <w:rPr>
          <w:rFonts w:ascii="Arial" w:hAnsi="Arial" w:cs="Arial"/>
          <w:sz w:val="20"/>
          <w:szCs w:val="20"/>
        </w:rPr>
        <w:t xml:space="preserve">zagotavljale boljšo dostopnost (skrajšanje potovalnih časov z izboljšanjem elementov prečnega in vzdolžnega profila ceste, tudi npr. dodatni – tretji pas za počasna vozila …) in </w:t>
      </w:r>
    </w:p>
    <w:p w:rsidR="00D91D1F" w:rsidRPr="00E564A6" w:rsidRDefault="00D91D1F" w:rsidP="00C1387F">
      <w:pPr>
        <w:numPr>
          <w:ilvl w:val="0"/>
          <w:numId w:val="22"/>
        </w:numPr>
        <w:jc w:val="both"/>
        <w:rPr>
          <w:rFonts w:ascii="Arial" w:hAnsi="Arial" w:cs="Arial"/>
          <w:sz w:val="20"/>
          <w:szCs w:val="20"/>
        </w:rPr>
      </w:pPr>
      <w:r w:rsidRPr="00E564A6">
        <w:rPr>
          <w:rFonts w:ascii="Arial" w:hAnsi="Arial" w:cs="Arial"/>
          <w:sz w:val="20"/>
          <w:szCs w:val="20"/>
        </w:rPr>
        <w:t>omogočale večjo varnost udeležencem v prometu (ločevanje nemotornega od motornega prometa, fizični ukrepi za zmanjševanje hitrosti pred in v naseljih …).</w:t>
      </w:r>
    </w:p>
    <w:p w:rsidR="00D91D1F" w:rsidRPr="00E564A6" w:rsidRDefault="00D91D1F" w:rsidP="00D91D1F">
      <w:pPr>
        <w:ind w:left="720"/>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 xml:space="preserve">S Programskim orodjem dTims, ki na podlagi vnesenih podatkov omogoča izračun stroškov in koristi ter izvedbo možnih optimizacij, so bili opravljeni izračuni z različnim obsegom letnih vložkov za obnavljanje voziščnih konstrukcij državnih cest. Pokazali so, da bi samo za del voziščnih konstrukcij na letnem nivoju potrebovali preko 90 mio EUR. S tem bi postopno uspeli zmanjšati delež vozišč v </w:t>
      </w:r>
      <w:r w:rsidRPr="00E564A6">
        <w:rPr>
          <w:rFonts w:ascii="Arial" w:hAnsi="Arial" w:cs="Arial"/>
          <w:sz w:val="20"/>
          <w:szCs w:val="20"/>
        </w:rPr>
        <w:lastRenderedPageBreak/>
        <w:t xml:space="preserve">zelo slabem stanju. Vozišče je samo en del celotnega cestnega telesa. Dodatno k temu je potrebno prišteti tudi ukrepe, s katerimi bomo dosegali boljšo dostopnost, večjo stopnjo varnosti itd. </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Nacionalni program tako za celoten program rekonstrukcij, obnov in posameznih novogradenj državnega cestnega omrežja, vključno z rednimi vzdrževanimi deli, predvideva letni obseg sredstev:</w:t>
      </w:r>
    </w:p>
    <w:p w:rsidR="00D91D1F" w:rsidRPr="00E564A6" w:rsidRDefault="00D91D1F" w:rsidP="00C1387F">
      <w:pPr>
        <w:numPr>
          <w:ilvl w:val="0"/>
          <w:numId w:val="22"/>
        </w:numPr>
        <w:jc w:val="both"/>
        <w:rPr>
          <w:rFonts w:ascii="Arial" w:hAnsi="Arial" w:cs="Arial"/>
          <w:sz w:val="20"/>
          <w:szCs w:val="20"/>
        </w:rPr>
      </w:pPr>
      <w:r w:rsidRPr="00E564A6">
        <w:rPr>
          <w:rFonts w:ascii="Arial" w:hAnsi="Arial" w:cs="Arial"/>
          <w:sz w:val="20"/>
          <w:szCs w:val="20"/>
        </w:rPr>
        <w:t>v letu 2016 v višini 172,8 mio EUR</w:t>
      </w:r>
    </w:p>
    <w:p w:rsidR="00D91D1F" w:rsidRPr="00E564A6" w:rsidRDefault="00D91D1F" w:rsidP="00C1387F">
      <w:pPr>
        <w:numPr>
          <w:ilvl w:val="0"/>
          <w:numId w:val="22"/>
        </w:numPr>
        <w:jc w:val="both"/>
        <w:rPr>
          <w:rFonts w:ascii="Arial" w:hAnsi="Arial" w:cs="Arial"/>
          <w:sz w:val="20"/>
          <w:szCs w:val="20"/>
        </w:rPr>
      </w:pPr>
      <w:r w:rsidRPr="00E564A6">
        <w:rPr>
          <w:rFonts w:ascii="Arial" w:hAnsi="Arial" w:cs="Arial"/>
          <w:sz w:val="20"/>
          <w:szCs w:val="20"/>
        </w:rPr>
        <w:t>v letu 2017 v višini 236,8 mio EUR in</w:t>
      </w:r>
    </w:p>
    <w:p w:rsidR="00D91D1F" w:rsidRPr="00E564A6" w:rsidRDefault="00D91D1F" w:rsidP="00C1387F">
      <w:pPr>
        <w:numPr>
          <w:ilvl w:val="0"/>
          <w:numId w:val="22"/>
        </w:numPr>
        <w:jc w:val="both"/>
        <w:rPr>
          <w:rFonts w:ascii="Arial" w:hAnsi="Arial" w:cs="Arial"/>
          <w:sz w:val="20"/>
          <w:szCs w:val="20"/>
        </w:rPr>
      </w:pPr>
      <w:r w:rsidRPr="00E564A6">
        <w:rPr>
          <w:rFonts w:ascii="Arial" w:hAnsi="Arial" w:cs="Arial"/>
          <w:sz w:val="20"/>
          <w:szCs w:val="20"/>
        </w:rPr>
        <w:t>v letu 2018 ter naslednja leta 263 mio EUR povprečno letno</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 xml:space="preserve">Po opravljenih analizah je bilo na avtocestah in hitrih cestah v RS v letu 2013 v zelo slabem in slabem stanju 244,5 km smernih vozišč, v letu 2015 pa je slabih ali zelo slabih cca 387,3 km vozišč. Po izračunih na osnovi modela propadanja se delež slabih in zelo slabih vozišč povečuje, kar pomeni, da je potrebno povečati vlaganja za ohranjanje in vzdrževanje infrastrukture. Na programu avtocestnega omrežja je za obnove vozišč, rekonstrukcije objektov in ostalih elementov predvideno  v letu 2016 57,7 mio EUR, v letu 2017 80,7 mio EUR   ter naprej po 91 mio EUR letno. Ta vrednost, ki jo sicer predvideva DARS d.d. ni direktno del javnih sredstev. Vrednost pa mogoča, da se postopno izboljša stanje vozišč, stanje obcestnega telesa ter tudi objektov. </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Dodatno pa bo potrebno zagotoviti sredstva za izvedbo nekaterih novogradenj, ki so predstavljene v okviru potrebnih aktivnosti: npr. odsek AC Draženci</w:t>
      </w:r>
      <w:r w:rsidRPr="00E564A6">
        <w:rPr>
          <w:rFonts w:ascii="Arial" w:hAnsi="Arial" w:cs="Arial"/>
          <w:color w:val="000000"/>
          <w:sz w:val="20"/>
          <w:szCs w:val="20"/>
        </w:rPr>
        <w:t>–</w:t>
      </w:r>
      <w:r w:rsidRPr="00E564A6">
        <w:rPr>
          <w:rFonts w:ascii="Arial" w:hAnsi="Arial" w:cs="Arial"/>
          <w:sz w:val="20"/>
          <w:szCs w:val="20"/>
        </w:rPr>
        <w:t xml:space="preserve">Gruškovje, drugo cev predora Karavanke, dodatne priključke, širitve obstoječe AC, nekatere odseke tretje razvoje osi itd.  </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 xml:space="preserve">Železnice predstavljajo pomemben segment prometnega sistema, tako za prevoz tovora kot za izvajanje javnega potniškega prometa. Skupna dolžina glavnih prog znaša 575,6 km, regionalnih prog pa 633 km. V Uredbi EU 1315/2013 (v nadaljevanju TEN-T uredba) je definirano jedrno vseevropsko prometno omrežje (v nadaljevanju TEN-T omrežje). Čez Slovenijo potekata tudi dva koridorja jedrnega omrežja, in sicer Baltsko-jadranski in Sredozemski. V Baltsko-jadranskem koridorju leži 337, v Sredozemskem pa 462 km glavnih prog. Ker se koridorja ne pokrijeta v celoti, je skupaj na jedrnem omrežju v Sloveniji 496 km prog. </w:t>
      </w:r>
    </w:p>
    <w:p w:rsidR="00D91D1F" w:rsidRPr="00E564A6" w:rsidRDefault="00D91D1F" w:rsidP="00D91D1F">
      <w:pPr>
        <w:jc w:val="both"/>
        <w:rPr>
          <w:rFonts w:ascii="Arial" w:hAnsi="Arial" w:cs="Arial"/>
          <w:sz w:val="20"/>
          <w:szCs w:val="20"/>
        </w:rPr>
      </w:pPr>
    </w:p>
    <w:p w:rsidR="00D91D1F" w:rsidRPr="00E564A6" w:rsidRDefault="00D91D1F" w:rsidP="00D91D1F">
      <w:pPr>
        <w:rPr>
          <w:rFonts w:ascii="Arial" w:hAnsi="Arial" w:cs="Arial"/>
          <w:sz w:val="20"/>
          <w:szCs w:val="20"/>
        </w:rPr>
      </w:pPr>
      <w:r w:rsidRPr="00E564A6">
        <w:rPr>
          <w:rFonts w:ascii="Arial" w:hAnsi="Arial" w:cs="Arial"/>
          <w:sz w:val="20"/>
          <w:szCs w:val="20"/>
        </w:rPr>
        <w:t xml:space="preserve">Tabela </w:t>
      </w:r>
      <w:r w:rsidR="00B46635">
        <w:rPr>
          <w:rFonts w:ascii="Arial" w:hAnsi="Arial" w:cs="Arial"/>
          <w:noProof/>
          <w:sz w:val="20"/>
          <w:szCs w:val="20"/>
        </w:rPr>
        <w:t>1</w:t>
      </w:r>
      <w:r w:rsidRPr="00E564A6">
        <w:rPr>
          <w:rFonts w:ascii="Arial" w:hAnsi="Arial" w:cs="Arial"/>
          <w:sz w:val="20"/>
          <w:szCs w:val="20"/>
        </w:rPr>
        <w:noBreakHyphen/>
      </w:r>
      <w:r w:rsidRPr="00E564A6">
        <w:rPr>
          <w:rFonts w:ascii="Arial" w:hAnsi="Arial" w:cs="Arial"/>
          <w:sz w:val="20"/>
          <w:szCs w:val="20"/>
        </w:rPr>
        <w:fldChar w:fldCharType="begin"/>
      </w:r>
      <w:r w:rsidRPr="00E564A6">
        <w:rPr>
          <w:rFonts w:ascii="Arial" w:hAnsi="Arial" w:cs="Arial"/>
          <w:sz w:val="20"/>
          <w:szCs w:val="20"/>
        </w:rPr>
        <w:instrText xml:space="preserve"> SEQ Tabela \* ARABIC \s 1 </w:instrText>
      </w:r>
      <w:r w:rsidRPr="00E564A6">
        <w:rPr>
          <w:rFonts w:ascii="Arial" w:hAnsi="Arial" w:cs="Arial"/>
          <w:sz w:val="20"/>
          <w:szCs w:val="20"/>
        </w:rPr>
        <w:fldChar w:fldCharType="separate"/>
      </w:r>
      <w:r w:rsidR="00B46635">
        <w:rPr>
          <w:rFonts w:ascii="Arial" w:hAnsi="Arial" w:cs="Arial"/>
          <w:noProof/>
          <w:sz w:val="20"/>
          <w:szCs w:val="20"/>
        </w:rPr>
        <w:t>2</w:t>
      </w:r>
      <w:r w:rsidRPr="00E564A6">
        <w:rPr>
          <w:rFonts w:ascii="Arial" w:hAnsi="Arial" w:cs="Arial"/>
          <w:sz w:val="20"/>
          <w:szCs w:val="20"/>
        </w:rPr>
        <w:fldChar w:fldCharType="end"/>
      </w:r>
      <w:r w:rsidRPr="00E564A6">
        <w:rPr>
          <w:rFonts w:ascii="Arial" w:hAnsi="Arial" w:cs="Arial"/>
          <w:sz w:val="20"/>
          <w:szCs w:val="20"/>
          <w:lang w:eastAsia="sl-SI"/>
        </w:rPr>
        <w:t>:</w:t>
      </w:r>
      <w:r w:rsidRPr="00E564A6">
        <w:rPr>
          <w:rFonts w:ascii="Arial" w:hAnsi="Arial" w:cs="Arial"/>
          <w:sz w:val="20"/>
          <w:szCs w:val="20"/>
        </w:rPr>
        <w:t xml:space="preserve"> Dolžina železniškega omrežja v RS</w:t>
      </w:r>
    </w:p>
    <w:tbl>
      <w:tblPr>
        <w:tblW w:w="9078" w:type="dxa"/>
        <w:tblInd w:w="55" w:type="dxa"/>
        <w:tblCellMar>
          <w:left w:w="0" w:type="dxa"/>
          <w:right w:w="0" w:type="dxa"/>
        </w:tblCellMar>
        <w:tblLook w:val="04A0" w:firstRow="1" w:lastRow="0" w:firstColumn="1" w:lastColumn="0" w:noHBand="0" w:noVBand="1"/>
      </w:tblPr>
      <w:tblGrid>
        <w:gridCol w:w="7225"/>
        <w:gridCol w:w="1853"/>
      </w:tblGrid>
      <w:tr w:rsidR="00D91D1F" w:rsidRPr="00D91D1F" w:rsidTr="00BF1663">
        <w:trPr>
          <w:trHeight w:val="321"/>
        </w:trPr>
        <w:tc>
          <w:tcPr>
            <w:tcW w:w="7225"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rsidR="00D91D1F" w:rsidRPr="00D91D1F" w:rsidRDefault="00D91D1F" w:rsidP="00BF1663">
            <w:pPr>
              <w:rPr>
                <w:rFonts w:ascii="Arial" w:eastAsia="Calibri" w:hAnsi="Arial" w:cs="Arial"/>
                <w:sz w:val="16"/>
                <w:szCs w:val="16"/>
                <w:lang w:eastAsia="sl-SI"/>
              </w:rPr>
            </w:pPr>
            <w:r w:rsidRPr="00D91D1F">
              <w:rPr>
                <w:rFonts w:ascii="Arial" w:hAnsi="Arial" w:cs="Arial"/>
                <w:sz w:val="16"/>
                <w:szCs w:val="16"/>
                <w:lang w:eastAsia="sl-SI"/>
              </w:rPr>
              <w:t>Železnice</w:t>
            </w:r>
          </w:p>
        </w:tc>
        <w:tc>
          <w:tcPr>
            <w:tcW w:w="1853"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D91D1F" w:rsidRPr="00D91D1F" w:rsidRDefault="00D91D1F" w:rsidP="00BF1663">
            <w:pPr>
              <w:jc w:val="center"/>
              <w:rPr>
                <w:rFonts w:ascii="Arial" w:eastAsia="Calibri" w:hAnsi="Arial" w:cs="Arial"/>
                <w:sz w:val="16"/>
                <w:szCs w:val="16"/>
                <w:lang w:eastAsia="sl-SI"/>
              </w:rPr>
            </w:pPr>
            <w:r w:rsidRPr="00D91D1F">
              <w:rPr>
                <w:rFonts w:ascii="Arial" w:hAnsi="Arial" w:cs="Arial"/>
                <w:sz w:val="16"/>
                <w:szCs w:val="16"/>
                <w:lang w:eastAsia="sl-SI"/>
              </w:rPr>
              <w:t>Dolžina v km</w:t>
            </w:r>
          </w:p>
        </w:tc>
      </w:tr>
      <w:tr w:rsidR="00D91D1F" w:rsidRPr="00D91D1F" w:rsidTr="00BF1663">
        <w:trPr>
          <w:trHeight w:val="321"/>
        </w:trPr>
        <w:tc>
          <w:tcPr>
            <w:tcW w:w="7225"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91D1F" w:rsidRPr="00D91D1F" w:rsidRDefault="00D91D1F" w:rsidP="00BF1663">
            <w:pPr>
              <w:rPr>
                <w:rFonts w:ascii="Arial" w:eastAsia="Calibri" w:hAnsi="Arial" w:cs="Arial"/>
                <w:sz w:val="16"/>
                <w:szCs w:val="16"/>
                <w:lang w:eastAsia="sl-SI"/>
              </w:rPr>
            </w:pPr>
            <w:r w:rsidRPr="00D91D1F">
              <w:rPr>
                <w:rFonts w:ascii="Arial" w:hAnsi="Arial" w:cs="Arial"/>
                <w:sz w:val="16"/>
                <w:szCs w:val="16"/>
                <w:lang w:eastAsia="sl-SI"/>
              </w:rPr>
              <w:t>Nacionalna kategorija proge – glavne proge </w:t>
            </w:r>
          </w:p>
        </w:tc>
        <w:tc>
          <w:tcPr>
            <w:tcW w:w="1853" w:type="dxa"/>
            <w:tcBorders>
              <w:top w:val="nil"/>
              <w:left w:val="nil"/>
              <w:bottom w:val="single" w:sz="8" w:space="0" w:color="auto"/>
              <w:right w:val="single" w:sz="8" w:space="0" w:color="auto"/>
            </w:tcBorders>
            <w:tcMar>
              <w:top w:w="0" w:type="dxa"/>
              <w:left w:w="70" w:type="dxa"/>
              <w:bottom w:w="0" w:type="dxa"/>
              <w:right w:w="70" w:type="dxa"/>
            </w:tcMar>
            <w:vAlign w:val="center"/>
          </w:tcPr>
          <w:p w:rsidR="00D91D1F" w:rsidRPr="00D91D1F" w:rsidRDefault="00D91D1F" w:rsidP="00BF1663">
            <w:pPr>
              <w:jc w:val="center"/>
              <w:rPr>
                <w:rFonts w:ascii="Arial" w:eastAsia="Calibri" w:hAnsi="Arial" w:cs="Arial"/>
                <w:sz w:val="16"/>
                <w:szCs w:val="16"/>
                <w:lang w:eastAsia="sl-SI"/>
              </w:rPr>
            </w:pPr>
            <w:r w:rsidRPr="00D91D1F">
              <w:rPr>
                <w:rFonts w:ascii="Arial" w:hAnsi="Arial" w:cs="Arial"/>
                <w:sz w:val="16"/>
                <w:szCs w:val="16"/>
                <w:lang w:eastAsia="sl-SI"/>
              </w:rPr>
              <w:t>575,6</w:t>
            </w:r>
          </w:p>
        </w:tc>
      </w:tr>
      <w:tr w:rsidR="00D91D1F" w:rsidRPr="00D91D1F" w:rsidTr="00BF1663">
        <w:trPr>
          <w:trHeight w:val="321"/>
        </w:trPr>
        <w:tc>
          <w:tcPr>
            <w:tcW w:w="7225"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91D1F" w:rsidRPr="00D91D1F" w:rsidRDefault="00D91D1F" w:rsidP="00BF1663">
            <w:pPr>
              <w:rPr>
                <w:rFonts w:ascii="Arial" w:eastAsia="Calibri" w:hAnsi="Arial" w:cs="Arial"/>
                <w:sz w:val="16"/>
                <w:szCs w:val="16"/>
                <w:lang w:eastAsia="sl-SI"/>
              </w:rPr>
            </w:pPr>
            <w:r w:rsidRPr="00D91D1F">
              <w:rPr>
                <w:rFonts w:ascii="Arial" w:hAnsi="Arial" w:cs="Arial"/>
                <w:sz w:val="16"/>
                <w:szCs w:val="16"/>
                <w:lang w:eastAsia="sl-SI"/>
              </w:rPr>
              <w:t>Nacionalna kategorija proge – regionalne proge </w:t>
            </w:r>
          </w:p>
        </w:tc>
        <w:tc>
          <w:tcPr>
            <w:tcW w:w="1853" w:type="dxa"/>
            <w:tcBorders>
              <w:top w:val="nil"/>
              <w:left w:val="nil"/>
              <w:bottom w:val="single" w:sz="8" w:space="0" w:color="auto"/>
              <w:right w:val="single" w:sz="8" w:space="0" w:color="auto"/>
            </w:tcBorders>
            <w:tcMar>
              <w:top w:w="0" w:type="dxa"/>
              <w:left w:w="70" w:type="dxa"/>
              <w:bottom w:w="0" w:type="dxa"/>
              <w:right w:w="70" w:type="dxa"/>
            </w:tcMar>
            <w:vAlign w:val="center"/>
          </w:tcPr>
          <w:p w:rsidR="00D91D1F" w:rsidRPr="00D91D1F" w:rsidRDefault="00D91D1F" w:rsidP="00BF1663">
            <w:pPr>
              <w:jc w:val="center"/>
              <w:rPr>
                <w:rFonts w:ascii="Arial" w:eastAsia="Calibri" w:hAnsi="Arial" w:cs="Arial"/>
                <w:sz w:val="16"/>
                <w:szCs w:val="16"/>
                <w:lang w:eastAsia="sl-SI"/>
              </w:rPr>
            </w:pPr>
            <w:r w:rsidRPr="00D91D1F">
              <w:rPr>
                <w:rFonts w:ascii="Arial" w:hAnsi="Arial" w:cs="Arial"/>
                <w:sz w:val="16"/>
                <w:szCs w:val="16"/>
                <w:lang w:eastAsia="sl-SI"/>
              </w:rPr>
              <w:t>633,4</w:t>
            </w:r>
          </w:p>
        </w:tc>
      </w:tr>
      <w:tr w:rsidR="00D91D1F" w:rsidRPr="00D91D1F" w:rsidTr="00BF1663">
        <w:trPr>
          <w:trHeight w:val="321"/>
        </w:trPr>
        <w:tc>
          <w:tcPr>
            <w:tcW w:w="7225" w:type="dxa"/>
            <w:tcBorders>
              <w:top w:val="nil"/>
              <w:left w:val="single" w:sz="8" w:space="0" w:color="auto"/>
              <w:bottom w:val="single" w:sz="8" w:space="0" w:color="auto"/>
              <w:right w:val="single" w:sz="8" w:space="0" w:color="auto"/>
            </w:tcBorders>
            <w:shd w:val="clear" w:color="auto" w:fill="F2DCDB"/>
            <w:noWrap/>
            <w:tcMar>
              <w:top w:w="0" w:type="dxa"/>
              <w:left w:w="70" w:type="dxa"/>
              <w:bottom w:w="0" w:type="dxa"/>
              <w:right w:w="70" w:type="dxa"/>
            </w:tcMar>
            <w:vAlign w:val="center"/>
          </w:tcPr>
          <w:p w:rsidR="00D91D1F" w:rsidRPr="00D91D1F" w:rsidRDefault="00D91D1F" w:rsidP="00BF1663">
            <w:pPr>
              <w:rPr>
                <w:rFonts w:ascii="Arial" w:eastAsia="Calibri" w:hAnsi="Arial" w:cs="Arial"/>
                <w:sz w:val="16"/>
                <w:szCs w:val="16"/>
                <w:lang w:eastAsia="sl-SI"/>
              </w:rPr>
            </w:pPr>
            <w:r w:rsidRPr="00D91D1F">
              <w:rPr>
                <w:rFonts w:ascii="Arial" w:hAnsi="Arial" w:cs="Arial"/>
                <w:sz w:val="16"/>
                <w:szCs w:val="16"/>
                <w:lang w:eastAsia="sl-SI"/>
              </w:rPr>
              <w:t>Skupaj vseh prog</w:t>
            </w:r>
          </w:p>
        </w:tc>
        <w:tc>
          <w:tcPr>
            <w:tcW w:w="1853" w:type="dxa"/>
            <w:tcBorders>
              <w:top w:val="nil"/>
              <w:left w:val="nil"/>
              <w:bottom w:val="single" w:sz="8" w:space="0" w:color="auto"/>
              <w:right w:val="single" w:sz="8" w:space="0" w:color="auto"/>
            </w:tcBorders>
            <w:shd w:val="clear" w:color="auto" w:fill="F2DCDB"/>
            <w:noWrap/>
            <w:tcMar>
              <w:top w:w="0" w:type="dxa"/>
              <w:left w:w="70" w:type="dxa"/>
              <w:bottom w:w="0" w:type="dxa"/>
              <w:right w:w="70" w:type="dxa"/>
            </w:tcMar>
            <w:vAlign w:val="bottom"/>
          </w:tcPr>
          <w:p w:rsidR="00D91D1F" w:rsidRPr="00D91D1F" w:rsidRDefault="00D91D1F" w:rsidP="00BF1663">
            <w:pPr>
              <w:jc w:val="center"/>
              <w:rPr>
                <w:rFonts w:ascii="Arial" w:eastAsia="Calibri" w:hAnsi="Arial" w:cs="Arial"/>
                <w:sz w:val="16"/>
                <w:szCs w:val="16"/>
                <w:lang w:eastAsia="sl-SI"/>
              </w:rPr>
            </w:pPr>
            <w:r w:rsidRPr="00D91D1F">
              <w:rPr>
                <w:rFonts w:ascii="Arial" w:hAnsi="Arial" w:cs="Arial"/>
                <w:sz w:val="16"/>
                <w:szCs w:val="16"/>
                <w:lang w:eastAsia="sl-SI"/>
              </w:rPr>
              <w:t>1.209,0</w:t>
            </w:r>
          </w:p>
        </w:tc>
      </w:tr>
      <w:tr w:rsidR="00D91D1F" w:rsidRPr="00D91D1F" w:rsidTr="00BF1663">
        <w:trPr>
          <w:trHeight w:val="321"/>
        </w:trPr>
        <w:tc>
          <w:tcPr>
            <w:tcW w:w="7225" w:type="dxa"/>
            <w:tcBorders>
              <w:top w:val="nil"/>
              <w:left w:val="single" w:sz="8" w:space="0" w:color="auto"/>
              <w:bottom w:val="nil"/>
              <w:right w:val="single" w:sz="8" w:space="0" w:color="auto"/>
            </w:tcBorders>
            <w:tcMar>
              <w:top w:w="0" w:type="dxa"/>
              <w:left w:w="70" w:type="dxa"/>
              <w:bottom w:w="0" w:type="dxa"/>
              <w:right w:w="70" w:type="dxa"/>
            </w:tcMar>
            <w:vAlign w:val="center"/>
          </w:tcPr>
          <w:p w:rsidR="00D91D1F" w:rsidRPr="00D91D1F" w:rsidRDefault="00D91D1F" w:rsidP="00BF1663">
            <w:pPr>
              <w:rPr>
                <w:rFonts w:ascii="Arial" w:eastAsia="Calibri" w:hAnsi="Arial" w:cs="Arial"/>
                <w:sz w:val="16"/>
                <w:szCs w:val="16"/>
                <w:lang w:eastAsia="sl-SI"/>
              </w:rPr>
            </w:pPr>
            <w:r w:rsidRPr="00D91D1F">
              <w:rPr>
                <w:rFonts w:ascii="Arial" w:hAnsi="Arial" w:cs="Arial"/>
                <w:sz w:val="16"/>
                <w:szCs w:val="16"/>
                <w:lang w:eastAsia="sl-SI"/>
              </w:rPr>
              <w:t>Dejanska dolžina enotirnih prog (km)</w:t>
            </w:r>
          </w:p>
        </w:tc>
        <w:tc>
          <w:tcPr>
            <w:tcW w:w="1853" w:type="dxa"/>
            <w:tcBorders>
              <w:top w:val="nil"/>
              <w:left w:val="nil"/>
              <w:bottom w:val="single" w:sz="8" w:space="0" w:color="auto"/>
              <w:right w:val="single" w:sz="8" w:space="0" w:color="auto"/>
            </w:tcBorders>
            <w:tcMar>
              <w:top w:w="0" w:type="dxa"/>
              <w:left w:w="70" w:type="dxa"/>
              <w:bottom w:w="0" w:type="dxa"/>
              <w:right w:w="70" w:type="dxa"/>
            </w:tcMar>
            <w:vAlign w:val="center"/>
          </w:tcPr>
          <w:p w:rsidR="00D91D1F" w:rsidRPr="00D91D1F" w:rsidRDefault="00D91D1F" w:rsidP="00BF1663">
            <w:pPr>
              <w:jc w:val="center"/>
              <w:rPr>
                <w:rFonts w:ascii="Arial" w:eastAsia="Calibri" w:hAnsi="Arial" w:cs="Arial"/>
                <w:sz w:val="16"/>
                <w:szCs w:val="16"/>
                <w:lang w:eastAsia="sl-SI"/>
              </w:rPr>
            </w:pPr>
            <w:r w:rsidRPr="00D91D1F">
              <w:rPr>
                <w:rFonts w:ascii="Arial" w:hAnsi="Arial" w:cs="Arial"/>
                <w:sz w:val="16"/>
                <w:szCs w:val="16"/>
                <w:lang w:eastAsia="sl-SI"/>
              </w:rPr>
              <w:t>878,7</w:t>
            </w:r>
          </w:p>
        </w:tc>
      </w:tr>
      <w:tr w:rsidR="00D91D1F" w:rsidRPr="00D91D1F" w:rsidTr="00BF1663">
        <w:trPr>
          <w:trHeight w:val="321"/>
        </w:trPr>
        <w:tc>
          <w:tcPr>
            <w:tcW w:w="7225" w:type="dxa"/>
            <w:tcBorders>
              <w:top w:val="single" w:sz="8" w:space="0" w:color="auto"/>
              <w:left w:val="single" w:sz="8" w:space="0" w:color="auto"/>
              <w:bottom w:val="nil"/>
              <w:right w:val="single" w:sz="8" w:space="0" w:color="auto"/>
            </w:tcBorders>
            <w:tcMar>
              <w:top w:w="0" w:type="dxa"/>
              <w:left w:w="70" w:type="dxa"/>
              <w:bottom w:w="0" w:type="dxa"/>
              <w:right w:w="70" w:type="dxa"/>
            </w:tcMar>
            <w:vAlign w:val="center"/>
          </w:tcPr>
          <w:p w:rsidR="00D91D1F" w:rsidRPr="00D91D1F" w:rsidRDefault="00D91D1F" w:rsidP="00BF1663">
            <w:pPr>
              <w:rPr>
                <w:rFonts w:ascii="Arial" w:eastAsia="Calibri" w:hAnsi="Arial" w:cs="Arial"/>
                <w:sz w:val="16"/>
                <w:szCs w:val="16"/>
                <w:lang w:eastAsia="sl-SI"/>
              </w:rPr>
            </w:pPr>
            <w:r w:rsidRPr="00D91D1F">
              <w:rPr>
                <w:rFonts w:ascii="Arial" w:hAnsi="Arial" w:cs="Arial"/>
                <w:sz w:val="16"/>
                <w:szCs w:val="16"/>
                <w:lang w:eastAsia="sl-SI"/>
              </w:rPr>
              <w:t>Dejanska dolžina dvotirnih prog (km)</w:t>
            </w:r>
          </w:p>
        </w:tc>
        <w:tc>
          <w:tcPr>
            <w:tcW w:w="1853" w:type="dxa"/>
            <w:tcBorders>
              <w:top w:val="nil"/>
              <w:left w:val="nil"/>
              <w:bottom w:val="single" w:sz="8" w:space="0" w:color="auto"/>
              <w:right w:val="single" w:sz="8" w:space="0" w:color="auto"/>
            </w:tcBorders>
            <w:tcMar>
              <w:top w:w="0" w:type="dxa"/>
              <w:left w:w="70" w:type="dxa"/>
              <w:bottom w:w="0" w:type="dxa"/>
              <w:right w:w="70" w:type="dxa"/>
            </w:tcMar>
            <w:vAlign w:val="center"/>
          </w:tcPr>
          <w:p w:rsidR="00D91D1F" w:rsidRPr="00D91D1F" w:rsidRDefault="00D91D1F" w:rsidP="00BF1663">
            <w:pPr>
              <w:jc w:val="center"/>
              <w:rPr>
                <w:rFonts w:ascii="Arial" w:eastAsia="Calibri" w:hAnsi="Arial" w:cs="Arial"/>
                <w:sz w:val="16"/>
                <w:szCs w:val="16"/>
                <w:lang w:eastAsia="sl-SI"/>
              </w:rPr>
            </w:pPr>
            <w:r w:rsidRPr="00D91D1F">
              <w:rPr>
                <w:rFonts w:ascii="Arial" w:hAnsi="Arial" w:cs="Arial"/>
                <w:sz w:val="16"/>
                <w:szCs w:val="16"/>
                <w:lang w:eastAsia="sl-SI"/>
              </w:rPr>
              <w:t>330,3</w:t>
            </w:r>
          </w:p>
        </w:tc>
      </w:tr>
      <w:tr w:rsidR="00D91D1F" w:rsidRPr="00D91D1F" w:rsidTr="00BF1663">
        <w:trPr>
          <w:trHeight w:val="321"/>
        </w:trPr>
        <w:tc>
          <w:tcPr>
            <w:tcW w:w="7225"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rsidR="00D91D1F" w:rsidRPr="00D91D1F" w:rsidRDefault="00D91D1F" w:rsidP="00BF1663">
            <w:pPr>
              <w:rPr>
                <w:rFonts w:ascii="Arial" w:eastAsia="Calibri" w:hAnsi="Arial" w:cs="Arial"/>
                <w:sz w:val="16"/>
                <w:szCs w:val="16"/>
                <w:lang w:eastAsia="sl-SI"/>
              </w:rPr>
            </w:pPr>
            <w:r w:rsidRPr="00D91D1F">
              <w:rPr>
                <w:rFonts w:ascii="Arial" w:hAnsi="Arial" w:cs="Arial"/>
                <w:sz w:val="16"/>
                <w:szCs w:val="16"/>
                <w:lang w:eastAsia="sl-SI"/>
              </w:rPr>
              <w:t>Dolžina prevoznih tirov</w:t>
            </w:r>
          </w:p>
        </w:tc>
        <w:tc>
          <w:tcPr>
            <w:tcW w:w="1853" w:type="dxa"/>
            <w:tcBorders>
              <w:top w:val="nil"/>
              <w:left w:val="nil"/>
              <w:bottom w:val="single" w:sz="8" w:space="0" w:color="auto"/>
              <w:right w:val="single" w:sz="8" w:space="0" w:color="auto"/>
            </w:tcBorders>
            <w:tcMar>
              <w:top w:w="0" w:type="dxa"/>
              <w:left w:w="70" w:type="dxa"/>
              <w:bottom w:w="0" w:type="dxa"/>
              <w:right w:w="70" w:type="dxa"/>
            </w:tcMar>
            <w:vAlign w:val="center"/>
          </w:tcPr>
          <w:p w:rsidR="00D91D1F" w:rsidRPr="00D91D1F" w:rsidRDefault="00D91D1F" w:rsidP="00BF1663">
            <w:pPr>
              <w:jc w:val="center"/>
              <w:rPr>
                <w:rFonts w:ascii="Arial" w:eastAsia="Calibri" w:hAnsi="Arial" w:cs="Arial"/>
                <w:sz w:val="16"/>
                <w:szCs w:val="16"/>
                <w:lang w:eastAsia="sl-SI"/>
              </w:rPr>
            </w:pPr>
            <w:r w:rsidRPr="00D91D1F">
              <w:rPr>
                <w:rFonts w:ascii="Arial" w:hAnsi="Arial" w:cs="Arial"/>
                <w:sz w:val="16"/>
                <w:szCs w:val="16"/>
                <w:lang w:eastAsia="sl-SI"/>
              </w:rPr>
              <w:t>1.539,4</w:t>
            </w:r>
          </w:p>
        </w:tc>
      </w:tr>
      <w:tr w:rsidR="00D91D1F" w:rsidRPr="00D91D1F" w:rsidTr="00BF1663">
        <w:trPr>
          <w:trHeight w:val="321"/>
        </w:trPr>
        <w:tc>
          <w:tcPr>
            <w:tcW w:w="7225"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91D1F" w:rsidRPr="00D91D1F" w:rsidRDefault="00D91D1F" w:rsidP="00BF1663">
            <w:pPr>
              <w:rPr>
                <w:rFonts w:ascii="Arial" w:eastAsia="Calibri" w:hAnsi="Arial" w:cs="Arial"/>
                <w:sz w:val="16"/>
                <w:szCs w:val="16"/>
                <w:lang w:eastAsia="sl-SI"/>
              </w:rPr>
            </w:pPr>
            <w:r w:rsidRPr="00D91D1F">
              <w:rPr>
                <w:rFonts w:ascii="Arial" w:hAnsi="Arial" w:cs="Arial"/>
                <w:sz w:val="16"/>
                <w:szCs w:val="16"/>
                <w:lang w:eastAsia="sl-SI"/>
              </w:rPr>
              <w:t>Dejanska dolžina elektrificiranih prog (km) (enotirna proga)</w:t>
            </w:r>
          </w:p>
        </w:tc>
        <w:tc>
          <w:tcPr>
            <w:tcW w:w="1853" w:type="dxa"/>
            <w:tcBorders>
              <w:top w:val="nil"/>
              <w:left w:val="nil"/>
              <w:bottom w:val="single" w:sz="8" w:space="0" w:color="auto"/>
              <w:right w:val="single" w:sz="8" w:space="0" w:color="auto"/>
            </w:tcBorders>
            <w:tcMar>
              <w:top w:w="0" w:type="dxa"/>
              <w:left w:w="70" w:type="dxa"/>
              <w:bottom w:w="0" w:type="dxa"/>
              <w:right w:w="70" w:type="dxa"/>
            </w:tcMar>
            <w:vAlign w:val="center"/>
          </w:tcPr>
          <w:p w:rsidR="00D91D1F" w:rsidRPr="00D91D1F" w:rsidRDefault="00D91D1F" w:rsidP="00BF1663">
            <w:pPr>
              <w:jc w:val="center"/>
              <w:rPr>
                <w:rFonts w:ascii="Arial" w:eastAsia="Calibri" w:hAnsi="Arial" w:cs="Arial"/>
                <w:sz w:val="16"/>
                <w:szCs w:val="16"/>
                <w:lang w:eastAsia="sl-SI"/>
              </w:rPr>
            </w:pPr>
            <w:r w:rsidRPr="00D91D1F">
              <w:rPr>
                <w:rFonts w:ascii="Arial" w:hAnsi="Arial" w:cs="Arial"/>
                <w:sz w:val="16"/>
                <w:szCs w:val="16"/>
                <w:lang w:eastAsia="sl-SI"/>
              </w:rPr>
              <w:t>170,1</w:t>
            </w:r>
          </w:p>
        </w:tc>
      </w:tr>
      <w:tr w:rsidR="00D91D1F" w:rsidRPr="00D91D1F" w:rsidTr="00BF1663">
        <w:trPr>
          <w:trHeight w:val="321"/>
        </w:trPr>
        <w:tc>
          <w:tcPr>
            <w:tcW w:w="7225"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91D1F" w:rsidRPr="00D91D1F" w:rsidRDefault="00D91D1F" w:rsidP="00BF1663">
            <w:pPr>
              <w:rPr>
                <w:rFonts w:ascii="Arial" w:eastAsia="Calibri" w:hAnsi="Arial" w:cs="Arial"/>
                <w:sz w:val="16"/>
                <w:szCs w:val="16"/>
                <w:lang w:eastAsia="sl-SI"/>
              </w:rPr>
            </w:pPr>
            <w:r w:rsidRPr="00D91D1F">
              <w:rPr>
                <w:rFonts w:ascii="Arial" w:hAnsi="Arial" w:cs="Arial"/>
                <w:sz w:val="16"/>
                <w:szCs w:val="16"/>
                <w:lang w:eastAsia="sl-SI"/>
              </w:rPr>
              <w:t>Dejanska dolžina elektrificiranih prog (km) (dvotirna proga)</w:t>
            </w:r>
          </w:p>
        </w:tc>
        <w:tc>
          <w:tcPr>
            <w:tcW w:w="1853" w:type="dxa"/>
            <w:tcBorders>
              <w:top w:val="nil"/>
              <w:left w:val="nil"/>
              <w:bottom w:val="single" w:sz="8" w:space="0" w:color="auto"/>
              <w:right w:val="single" w:sz="8" w:space="0" w:color="auto"/>
            </w:tcBorders>
            <w:tcMar>
              <w:top w:w="0" w:type="dxa"/>
              <w:left w:w="70" w:type="dxa"/>
              <w:bottom w:w="0" w:type="dxa"/>
              <w:right w:w="70" w:type="dxa"/>
            </w:tcMar>
            <w:vAlign w:val="center"/>
          </w:tcPr>
          <w:p w:rsidR="00D91D1F" w:rsidRPr="00D91D1F" w:rsidRDefault="00D91D1F" w:rsidP="00BF1663">
            <w:pPr>
              <w:jc w:val="center"/>
              <w:rPr>
                <w:rFonts w:ascii="Arial" w:eastAsia="Calibri" w:hAnsi="Arial" w:cs="Arial"/>
                <w:sz w:val="16"/>
                <w:szCs w:val="16"/>
                <w:lang w:eastAsia="sl-SI"/>
              </w:rPr>
            </w:pPr>
            <w:r w:rsidRPr="00D91D1F">
              <w:rPr>
                <w:rFonts w:ascii="Arial" w:hAnsi="Arial" w:cs="Arial"/>
                <w:sz w:val="16"/>
                <w:szCs w:val="16"/>
                <w:lang w:eastAsia="sl-SI"/>
              </w:rPr>
              <w:t>330,3</w:t>
            </w:r>
          </w:p>
        </w:tc>
      </w:tr>
    </w:tbl>
    <w:p w:rsidR="00D91D1F" w:rsidRPr="00D91D1F" w:rsidRDefault="00D91D1F" w:rsidP="00D91D1F">
      <w:pPr>
        <w:rPr>
          <w:rFonts w:ascii="Arial" w:eastAsia="Calibri" w:hAnsi="Arial" w:cs="Arial"/>
          <w:sz w:val="16"/>
          <w:szCs w:val="16"/>
          <w:lang w:eastAsia="en-US"/>
        </w:rPr>
      </w:pPr>
      <w:r w:rsidRPr="00D91D1F">
        <w:rPr>
          <w:rFonts w:ascii="Arial" w:hAnsi="Arial" w:cs="Arial"/>
          <w:sz w:val="16"/>
          <w:szCs w:val="16"/>
        </w:rPr>
        <w:t xml:space="preserve">Vir: </w:t>
      </w:r>
      <w:hyperlink r:id="rId16" w:history="1">
        <w:r w:rsidRPr="00D91D1F">
          <w:rPr>
            <w:rStyle w:val="Hiperpovezava"/>
            <w:rFonts w:ascii="Arial" w:hAnsi="Arial" w:cs="Arial"/>
            <w:sz w:val="16"/>
            <w:szCs w:val="16"/>
          </w:rPr>
          <w:t>http://www.di.gov.si/</w:t>
        </w:r>
      </w:hyperlink>
      <w:r w:rsidRPr="00D91D1F">
        <w:rPr>
          <w:rFonts w:ascii="Arial" w:hAnsi="Arial" w:cs="Arial"/>
          <w:sz w:val="16"/>
          <w:szCs w:val="16"/>
        </w:rPr>
        <w:t xml:space="preserve"> z dne 25.11.2015</w:t>
      </w:r>
    </w:p>
    <w:p w:rsidR="00D91D1F" w:rsidRPr="00D91D1F" w:rsidRDefault="00D91D1F" w:rsidP="00D91D1F">
      <w:pPr>
        <w:jc w:val="both"/>
        <w:rPr>
          <w:rFonts w:ascii="Arial" w:hAnsi="Arial" w:cs="Arial"/>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TEN-T uredba določa pogoje za jedrne železniške proge, ki morajo na TEN-T omrežju do leta 2030 izpolnjevati naslednje standarde:</w:t>
      </w:r>
    </w:p>
    <w:p w:rsidR="00D91D1F" w:rsidRPr="00E564A6" w:rsidRDefault="00D91D1F" w:rsidP="00C1387F">
      <w:pPr>
        <w:numPr>
          <w:ilvl w:val="0"/>
          <w:numId w:val="22"/>
        </w:numPr>
        <w:jc w:val="both"/>
        <w:rPr>
          <w:rFonts w:ascii="Arial" w:hAnsi="Arial" w:cs="Arial"/>
          <w:sz w:val="20"/>
          <w:szCs w:val="20"/>
        </w:rPr>
      </w:pPr>
      <w:r w:rsidRPr="00E564A6">
        <w:rPr>
          <w:rFonts w:ascii="Arial" w:hAnsi="Arial" w:cs="Arial"/>
          <w:sz w:val="20"/>
          <w:szCs w:val="20"/>
        </w:rPr>
        <w:t xml:space="preserve">elektrifikacija, </w:t>
      </w:r>
    </w:p>
    <w:p w:rsidR="00D91D1F" w:rsidRPr="00E564A6" w:rsidRDefault="00D91D1F" w:rsidP="00C1387F">
      <w:pPr>
        <w:numPr>
          <w:ilvl w:val="0"/>
          <w:numId w:val="22"/>
        </w:numPr>
        <w:jc w:val="both"/>
        <w:rPr>
          <w:rFonts w:ascii="Arial" w:hAnsi="Arial" w:cs="Arial"/>
          <w:sz w:val="20"/>
          <w:szCs w:val="20"/>
        </w:rPr>
      </w:pPr>
      <w:r w:rsidRPr="00E564A6">
        <w:rPr>
          <w:rFonts w:ascii="Arial" w:hAnsi="Arial" w:cs="Arial"/>
          <w:sz w:val="20"/>
          <w:szCs w:val="20"/>
        </w:rPr>
        <w:t>medtirna širina 1.435 m,</w:t>
      </w:r>
    </w:p>
    <w:p w:rsidR="00D91D1F" w:rsidRPr="00E564A6" w:rsidRDefault="00D91D1F" w:rsidP="00C1387F">
      <w:pPr>
        <w:numPr>
          <w:ilvl w:val="0"/>
          <w:numId w:val="22"/>
        </w:numPr>
        <w:jc w:val="both"/>
        <w:rPr>
          <w:rFonts w:ascii="Arial" w:hAnsi="Arial" w:cs="Arial"/>
          <w:sz w:val="20"/>
          <w:szCs w:val="20"/>
        </w:rPr>
      </w:pPr>
      <w:r w:rsidRPr="00E564A6">
        <w:rPr>
          <w:rFonts w:ascii="Arial" w:hAnsi="Arial" w:cs="Arial"/>
          <w:sz w:val="20"/>
          <w:szCs w:val="20"/>
        </w:rPr>
        <w:t>osna obremenitev vsaj 22,5 ton,</w:t>
      </w:r>
    </w:p>
    <w:p w:rsidR="00D91D1F" w:rsidRPr="00E564A6" w:rsidRDefault="00D91D1F" w:rsidP="00C1387F">
      <w:pPr>
        <w:numPr>
          <w:ilvl w:val="0"/>
          <w:numId w:val="22"/>
        </w:numPr>
        <w:jc w:val="both"/>
        <w:rPr>
          <w:rFonts w:ascii="Arial" w:hAnsi="Arial" w:cs="Arial"/>
          <w:sz w:val="20"/>
          <w:szCs w:val="20"/>
        </w:rPr>
      </w:pPr>
      <w:r w:rsidRPr="00E564A6">
        <w:rPr>
          <w:rFonts w:ascii="Arial" w:hAnsi="Arial" w:cs="Arial"/>
          <w:sz w:val="20"/>
          <w:szCs w:val="20"/>
        </w:rPr>
        <w:t>hitrost 100 km/h,</w:t>
      </w:r>
    </w:p>
    <w:p w:rsidR="00D91D1F" w:rsidRPr="00E564A6" w:rsidRDefault="00D91D1F" w:rsidP="00C1387F">
      <w:pPr>
        <w:numPr>
          <w:ilvl w:val="0"/>
          <w:numId w:val="22"/>
        </w:numPr>
        <w:jc w:val="both"/>
        <w:rPr>
          <w:rFonts w:ascii="Arial" w:hAnsi="Arial" w:cs="Arial"/>
          <w:sz w:val="20"/>
          <w:szCs w:val="20"/>
        </w:rPr>
      </w:pPr>
      <w:r w:rsidRPr="00E564A6">
        <w:rPr>
          <w:rFonts w:ascii="Arial" w:hAnsi="Arial" w:cs="Arial"/>
          <w:sz w:val="20"/>
          <w:szCs w:val="20"/>
        </w:rPr>
        <w:t>možnost vožnje vlakov, dolžine 740 metrov in</w:t>
      </w:r>
    </w:p>
    <w:p w:rsidR="00D91D1F" w:rsidRPr="00E564A6" w:rsidRDefault="00D91D1F" w:rsidP="00C1387F">
      <w:pPr>
        <w:numPr>
          <w:ilvl w:val="0"/>
          <w:numId w:val="22"/>
        </w:numPr>
        <w:jc w:val="both"/>
        <w:rPr>
          <w:rFonts w:ascii="Arial" w:hAnsi="Arial" w:cs="Arial"/>
          <w:sz w:val="20"/>
          <w:szCs w:val="20"/>
        </w:rPr>
      </w:pPr>
      <w:r w:rsidRPr="00E564A6">
        <w:rPr>
          <w:rFonts w:ascii="Arial" w:hAnsi="Arial" w:cs="Arial"/>
          <w:sz w:val="20"/>
          <w:szCs w:val="20"/>
        </w:rPr>
        <w:t>ERTMS.</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Proge jedrnega omrežja v RS v celoti izpolnjujejo standarde za medtirno širino, v celoti so elektrificirane (v letu 2015 je bil zaključen projekt Pragersko</w:t>
      </w:r>
      <w:r w:rsidRPr="00E564A6">
        <w:rPr>
          <w:rFonts w:ascii="Arial" w:hAnsi="Arial" w:cs="Arial"/>
          <w:color w:val="000000"/>
          <w:sz w:val="20"/>
          <w:szCs w:val="20"/>
        </w:rPr>
        <w:t>–</w:t>
      </w:r>
      <w:r w:rsidRPr="00E564A6">
        <w:rPr>
          <w:rFonts w:ascii="Arial" w:hAnsi="Arial" w:cs="Arial"/>
          <w:sz w:val="20"/>
          <w:szCs w:val="20"/>
        </w:rPr>
        <w:t>Hodoš), pretežno je že izveden sistem ERTMS, razen na odsekih Zidani Most</w:t>
      </w:r>
      <w:r w:rsidRPr="00E564A6">
        <w:rPr>
          <w:rFonts w:ascii="Arial" w:hAnsi="Arial" w:cs="Arial"/>
          <w:color w:val="000000"/>
          <w:sz w:val="20"/>
          <w:szCs w:val="20"/>
        </w:rPr>
        <w:t>–</w:t>
      </w:r>
      <w:r w:rsidRPr="00E564A6">
        <w:rPr>
          <w:rFonts w:ascii="Arial" w:hAnsi="Arial" w:cs="Arial"/>
          <w:sz w:val="20"/>
          <w:szCs w:val="20"/>
        </w:rPr>
        <w:t>Dobova, Pragersko</w:t>
      </w:r>
      <w:r w:rsidRPr="00E564A6">
        <w:rPr>
          <w:rFonts w:ascii="Arial" w:hAnsi="Arial" w:cs="Arial"/>
          <w:color w:val="000000"/>
          <w:sz w:val="20"/>
          <w:szCs w:val="20"/>
        </w:rPr>
        <w:t>–</w:t>
      </w:r>
      <w:r w:rsidRPr="00E564A6">
        <w:rPr>
          <w:rFonts w:ascii="Arial" w:hAnsi="Arial" w:cs="Arial"/>
          <w:sz w:val="20"/>
          <w:szCs w:val="20"/>
        </w:rPr>
        <w:t xml:space="preserve">Šentilj in Ljubljana </w:t>
      </w:r>
      <w:r w:rsidRPr="00E564A6">
        <w:rPr>
          <w:rFonts w:ascii="Arial" w:hAnsi="Arial" w:cs="Arial"/>
          <w:color w:val="000000"/>
          <w:sz w:val="20"/>
          <w:szCs w:val="20"/>
        </w:rPr>
        <w:t>–</w:t>
      </w:r>
      <w:r w:rsidRPr="00E564A6">
        <w:rPr>
          <w:rFonts w:ascii="Arial" w:hAnsi="Arial" w:cs="Arial"/>
          <w:sz w:val="20"/>
          <w:szCs w:val="20"/>
        </w:rPr>
        <w:t xml:space="preserve"> Jesenice. Slednji je </w:t>
      </w:r>
      <w:r w:rsidRPr="00E564A6">
        <w:rPr>
          <w:rFonts w:ascii="Arial" w:hAnsi="Arial" w:cs="Arial"/>
          <w:sz w:val="20"/>
          <w:szCs w:val="20"/>
        </w:rPr>
        <w:lastRenderedPageBreak/>
        <w:t>od letališča Jožeta Pučnika Ljubljana dalje, v smeri proti Jesenicam in Avstriji, v celovitem TEN-T omrežju.</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 xml:space="preserve">Največje odstopanje pri doseganju zahtev TEN-T uredbe beležimo pri standardih za hitrost in osno obremenitev. Analiza železniškega omrežja kaže, da samo 19,3 % omrežja oz. 95,7 km prog jedrnega omrežja, že izpolnjuje standarde predpisane z Uredbo 1351/2013. Za preostali del omrežja pa so predvidene aktivnosti, ki vključujejo pripravo dokumentacije za ustrezno nadgradnjo prog. Skladno z določili uredbe je potrebno projekte utemeljiti z vidika stroškov in koristi (analiza CBA), sama uredba pa dopušča tudi odstopanja oz. izjeme. </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 xml:space="preserve">Poleg izpolnitve TEN-T standardov, z utemeljenimi izjemami, je v železniškem sistemu nujno potrebno pripraviti tiste projekte nadgradenj glavnih in regionalnih prog, s katerimi bomo dosegli ustreznejše zmogljivosti posameznih prog, ki bodo železnici omogočile prevzem hrbtenične vloge tudi v javnem potniškem prometu in predvsem povečale njeno vlogo v tranzitnem tovornem prometu. </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 xml:space="preserve">Tudi ostali načini prometa bodo do leta 2030 morali zagotoviti TEN-T standarde, ki se zahtevajo za jedrna omrežja in v tem okviru je pomembna predvsem zagotovitev infrastrukture za alternativna goriva, po drugi strani pa je potrebno zagotoviti tudi spodbude za njihovo uporabo. </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Strategija in posledično Nacionalni program opredeljujeta tudi sklop ukrepov in aktivnosti na področju trajnostne mobilnosti (parkiraj in se pelji, enotna vozovnica, usklajen vozni red, kakovost storitev …).</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 xml:space="preserve">Posebna pozornost je namenjena tudi hitrejšemu razvoju in širitvi pristanišča v Kopru kot najpomembnejšemu izvoru tovora za prometno omrežje Slovenije in Srednje Evrope. Enaka skrb za hitrejši in boljši razvoj je posvečena tudi slovenskim letališčem, s poudarkom na razvoju letališča Jožeta Pučnika Ljubljana, njihov dejanski razvoj pa je v veliki meri odvisen od koncesijskih pogodb oz. vlaganj njihovih lastnikov. Republika Slovenija bo spodbujala njihov razvoj skladno s svojimi pristojnostmi. </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Vsi omenjeni cilji, prioritete, ukrepi in aktivnosti bodo lahko uresničeni s sprejemom Nacionalnega programa razvoja prometa v RS, ki predstavlja izvedbeni dokument Strategije razvoja prometa v RS.</w:t>
      </w:r>
    </w:p>
    <w:p w:rsidR="00D91D1F" w:rsidRPr="00D91D1F" w:rsidRDefault="00D91D1F" w:rsidP="00D91D1F">
      <w:pPr>
        <w:jc w:val="both"/>
        <w:rPr>
          <w:rFonts w:ascii="Arial" w:hAnsi="Arial" w:cs="Arial"/>
        </w:rPr>
      </w:pPr>
    </w:p>
    <w:p w:rsidR="00D91D1F" w:rsidRPr="008661AD" w:rsidRDefault="00D91D1F" w:rsidP="0063511F">
      <w:pPr>
        <w:pStyle w:val="Naslov"/>
        <w:rPr>
          <w:rStyle w:val="Naslovknjige"/>
          <w:b/>
        </w:rPr>
      </w:pPr>
      <w:r w:rsidRPr="00D91D1F">
        <w:br w:type="page"/>
      </w:r>
      <w:bookmarkStart w:id="2" w:name="_Toc443029063"/>
      <w:bookmarkStart w:id="3" w:name="_Toc456688566"/>
      <w:r w:rsidR="0063511F">
        <w:lastRenderedPageBreak/>
        <w:t>2.</w:t>
      </w:r>
      <w:r w:rsidR="0063511F">
        <w:tab/>
      </w:r>
      <w:r w:rsidRPr="008661AD">
        <w:rPr>
          <w:rStyle w:val="Naslovknjige"/>
          <w:b/>
        </w:rPr>
        <w:t>PRAVNA PODLAGA ZA IZDELAVO RESOLUCIJE O NACIONALNEM PROGRAMU RAZVOJA PROMETA V REPUBLIKI SLOVENIJI</w:t>
      </w:r>
      <w:bookmarkEnd w:id="2"/>
      <w:bookmarkEnd w:id="3"/>
    </w:p>
    <w:p w:rsidR="00D91D1F" w:rsidRPr="00D91D1F" w:rsidRDefault="00D91D1F" w:rsidP="00D91D1F">
      <w:pPr>
        <w:jc w:val="both"/>
        <w:rPr>
          <w:rFonts w:ascii="Arial" w:hAnsi="Arial" w:cs="Arial"/>
          <w:b/>
          <w:szCs w:val="22"/>
        </w:rPr>
      </w:pPr>
    </w:p>
    <w:p w:rsidR="00D91D1F" w:rsidRPr="00E564A6" w:rsidRDefault="00D91D1F" w:rsidP="00D91D1F">
      <w:pPr>
        <w:jc w:val="both"/>
        <w:rPr>
          <w:rFonts w:ascii="Arial" w:hAnsi="Arial" w:cs="Arial"/>
          <w:bCs/>
          <w:sz w:val="20"/>
          <w:szCs w:val="20"/>
        </w:rPr>
      </w:pPr>
      <w:r w:rsidRPr="00E564A6">
        <w:rPr>
          <w:rFonts w:ascii="Arial" w:hAnsi="Arial" w:cs="Arial"/>
          <w:bCs/>
          <w:sz w:val="20"/>
          <w:szCs w:val="20"/>
        </w:rPr>
        <w:t>Vlada Republike Slovenije je 29. 7. 2015 sprejela sklep št. 37000-3/2015/8, s katerim je sprejela Strategijo razvoja prometa v RS (v nadaljevanju Strategija) in obenem Ministrstvu za infrastrukturo RS (v nadaljevanju MzI) naložila pripravo Operativnega načrta za izvajanje Strategije (v nadaljevanju Operativni načrt), in sicer najkasneje v roku enega leta od sprejema Strategije na Vladi RS.</w:t>
      </w:r>
    </w:p>
    <w:p w:rsidR="00D91D1F" w:rsidRPr="00E564A6" w:rsidRDefault="00D91D1F" w:rsidP="00D91D1F">
      <w:pPr>
        <w:jc w:val="both"/>
        <w:rPr>
          <w:rFonts w:ascii="Arial" w:hAnsi="Arial" w:cs="Arial"/>
          <w:bCs/>
          <w:sz w:val="20"/>
          <w:szCs w:val="20"/>
        </w:rPr>
      </w:pPr>
    </w:p>
    <w:p w:rsidR="00D91D1F" w:rsidRPr="00E564A6" w:rsidRDefault="00D91D1F" w:rsidP="00D91D1F">
      <w:pPr>
        <w:jc w:val="both"/>
        <w:rPr>
          <w:rFonts w:ascii="Arial" w:hAnsi="Arial" w:cs="Arial"/>
          <w:bCs/>
          <w:sz w:val="20"/>
          <w:szCs w:val="20"/>
        </w:rPr>
      </w:pPr>
      <w:r w:rsidRPr="00E564A6">
        <w:rPr>
          <w:rFonts w:ascii="Arial" w:hAnsi="Arial" w:cs="Arial"/>
          <w:bCs/>
          <w:sz w:val="20"/>
          <w:szCs w:val="20"/>
        </w:rPr>
        <w:t>Operativni načrt bo sestavljen iz konkretnih projektov za izvedbo Strategije, ki bodo deloma ali v celoti sovpadali s projekti, ki so načrtovani v veljavnih nacionalnih programih, sprejetih v državnem zboru. Na podlagi tega dejstva je potrebno v državnem zboru, še pred sprejemom Operativnega načrta na Vladi RS, sprejeti Nacionalni program razvoja prometa, s katerim bodo nadomeščeni sedaj veljavni posamezni nacionalni programi</w:t>
      </w:r>
      <w:r w:rsidR="0005797F">
        <w:rPr>
          <w:rFonts w:ascii="Arial" w:hAnsi="Arial" w:cs="Arial"/>
          <w:bCs/>
          <w:sz w:val="20"/>
          <w:szCs w:val="20"/>
        </w:rPr>
        <w:t xml:space="preserve"> v delih, ki jih zajema ta Nacionalni program,</w:t>
      </w:r>
      <w:r w:rsidRPr="00E564A6">
        <w:rPr>
          <w:rFonts w:ascii="Arial" w:hAnsi="Arial" w:cs="Arial"/>
          <w:bCs/>
          <w:sz w:val="20"/>
          <w:szCs w:val="20"/>
        </w:rPr>
        <w:t>.</w:t>
      </w:r>
    </w:p>
    <w:p w:rsidR="00D91D1F" w:rsidRPr="00E564A6" w:rsidRDefault="00D91D1F" w:rsidP="00D91D1F">
      <w:pPr>
        <w:jc w:val="both"/>
        <w:rPr>
          <w:rFonts w:ascii="Arial" w:hAnsi="Arial" w:cs="Arial"/>
          <w:bCs/>
          <w:sz w:val="20"/>
          <w:szCs w:val="20"/>
        </w:rPr>
      </w:pPr>
    </w:p>
    <w:p w:rsidR="00D91D1F" w:rsidRPr="00E564A6" w:rsidRDefault="00D91D1F" w:rsidP="00D91D1F">
      <w:pPr>
        <w:jc w:val="both"/>
        <w:rPr>
          <w:rFonts w:ascii="Arial" w:hAnsi="Arial" w:cs="Arial"/>
          <w:bCs/>
          <w:sz w:val="20"/>
          <w:szCs w:val="20"/>
        </w:rPr>
      </w:pPr>
      <w:r w:rsidRPr="00E564A6">
        <w:rPr>
          <w:rFonts w:ascii="Arial" w:hAnsi="Arial" w:cs="Arial"/>
          <w:bCs/>
          <w:sz w:val="20"/>
          <w:szCs w:val="20"/>
        </w:rPr>
        <w:t xml:space="preserve">Pravno podlago za sprejem nacionalnih programov s področja prometa predpisujejo naslednja zakonska določila: </w:t>
      </w:r>
    </w:p>
    <w:p w:rsidR="00D91D1F" w:rsidRPr="00E564A6" w:rsidRDefault="00D91D1F" w:rsidP="00D91D1F">
      <w:pPr>
        <w:jc w:val="both"/>
        <w:rPr>
          <w:rFonts w:ascii="Arial" w:hAnsi="Arial" w:cs="Arial"/>
          <w:bCs/>
          <w:sz w:val="20"/>
          <w:szCs w:val="20"/>
        </w:rPr>
      </w:pPr>
    </w:p>
    <w:p w:rsidR="00D91D1F" w:rsidRPr="00E564A6" w:rsidRDefault="00D91D1F" w:rsidP="00C1387F">
      <w:pPr>
        <w:numPr>
          <w:ilvl w:val="0"/>
          <w:numId w:val="22"/>
        </w:numPr>
        <w:jc w:val="both"/>
        <w:rPr>
          <w:rFonts w:ascii="Arial" w:hAnsi="Arial" w:cs="Arial"/>
          <w:sz w:val="20"/>
          <w:szCs w:val="20"/>
        </w:rPr>
      </w:pPr>
      <w:r w:rsidRPr="00E564A6">
        <w:rPr>
          <w:rFonts w:ascii="Arial" w:hAnsi="Arial" w:cs="Arial"/>
          <w:sz w:val="20"/>
          <w:szCs w:val="20"/>
        </w:rPr>
        <w:t xml:space="preserve">42. člen Zakona o cestah (Uradni list RS, št. </w:t>
      </w:r>
      <w:hyperlink r:id="rId17" w:tgtFrame="_blank" w:tooltip="Zakon o cestah (ZCes-1)" w:history="1">
        <w:r w:rsidRPr="00E564A6">
          <w:rPr>
            <w:rFonts w:ascii="Arial" w:hAnsi="Arial" w:cs="Arial"/>
            <w:sz w:val="20"/>
            <w:szCs w:val="20"/>
          </w:rPr>
          <w:t>109/10</w:t>
        </w:r>
      </w:hyperlink>
      <w:r w:rsidRPr="00E564A6">
        <w:rPr>
          <w:rFonts w:ascii="Arial" w:hAnsi="Arial" w:cs="Arial"/>
          <w:sz w:val="20"/>
          <w:szCs w:val="20"/>
        </w:rPr>
        <w:t xml:space="preserve">, </w:t>
      </w:r>
      <w:hyperlink r:id="rId18" w:tgtFrame="_blank" w:tooltip="Zakon o spremembah in dopolnitvah Zakona o cestah" w:history="1">
        <w:r w:rsidRPr="00E564A6">
          <w:rPr>
            <w:rFonts w:ascii="Arial" w:hAnsi="Arial" w:cs="Arial"/>
            <w:sz w:val="20"/>
            <w:szCs w:val="20"/>
          </w:rPr>
          <w:t>48/12</w:t>
        </w:r>
      </w:hyperlink>
      <w:r w:rsidRPr="00E564A6">
        <w:rPr>
          <w:rFonts w:ascii="Arial" w:hAnsi="Arial" w:cs="Arial"/>
          <w:sz w:val="20"/>
          <w:szCs w:val="20"/>
        </w:rPr>
        <w:t xml:space="preserve">, </w:t>
      </w:r>
      <w:hyperlink r:id="rId19" w:tgtFrame="_blank" w:tooltip="Odločba o razveljavitvi zadnjega stavka šestega odstavka 5. člena Zakona o cestah" w:history="1">
        <w:r w:rsidRPr="00E564A6">
          <w:rPr>
            <w:rFonts w:ascii="Arial" w:hAnsi="Arial" w:cs="Arial"/>
            <w:sz w:val="20"/>
            <w:szCs w:val="20"/>
          </w:rPr>
          <w:t>36/14</w:t>
        </w:r>
      </w:hyperlink>
      <w:r w:rsidRPr="00E564A6">
        <w:rPr>
          <w:rFonts w:ascii="Arial" w:hAnsi="Arial" w:cs="Arial"/>
          <w:sz w:val="20"/>
          <w:szCs w:val="20"/>
        </w:rPr>
        <w:t xml:space="preserve"> – odl. US in </w:t>
      </w:r>
      <w:hyperlink r:id="rId20" w:tgtFrame="_blank" w:tooltip="Zakon o dopolnitvah Zakona o cestah" w:history="1">
        <w:r w:rsidRPr="00E564A6">
          <w:rPr>
            <w:rFonts w:ascii="Arial" w:hAnsi="Arial" w:cs="Arial"/>
            <w:sz w:val="20"/>
            <w:szCs w:val="20"/>
          </w:rPr>
          <w:t>46/15</w:t>
        </w:r>
      </w:hyperlink>
      <w:r w:rsidRPr="00E564A6">
        <w:rPr>
          <w:rFonts w:ascii="Arial" w:hAnsi="Arial" w:cs="Arial"/>
          <w:sz w:val="20"/>
          <w:szCs w:val="20"/>
        </w:rPr>
        <w:t>) določa:</w:t>
      </w:r>
    </w:p>
    <w:p w:rsidR="00D91D1F" w:rsidRPr="00E564A6" w:rsidRDefault="00D91D1F" w:rsidP="00D91D1F">
      <w:pPr>
        <w:jc w:val="both"/>
        <w:rPr>
          <w:rFonts w:ascii="Arial" w:hAnsi="Arial" w:cs="Arial"/>
          <w:bCs/>
          <w:sz w:val="20"/>
          <w:szCs w:val="20"/>
        </w:rPr>
      </w:pPr>
      <w:r w:rsidRPr="00E564A6">
        <w:rPr>
          <w:rFonts w:ascii="Arial" w:hAnsi="Arial" w:cs="Arial"/>
          <w:bCs/>
          <w:sz w:val="20"/>
          <w:szCs w:val="20"/>
        </w:rPr>
        <w:t xml:space="preserve"> (1) Cilji in naloge strategije razvoja in vzdrževanja državnih cest se podrobneje določijo v nacionalnem programu razvoja in vzdrževanja državnih cest.</w:t>
      </w:r>
    </w:p>
    <w:p w:rsidR="00D91D1F" w:rsidRPr="00E564A6" w:rsidRDefault="00D91D1F" w:rsidP="00D91D1F">
      <w:pPr>
        <w:jc w:val="both"/>
        <w:rPr>
          <w:rFonts w:ascii="Arial" w:hAnsi="Arial" w:cs="Arial"/>
          <w:bCs/>
          <w:sz w:val="20"/>
          <w:szCs w:val="20"/>
        </w:rPr>
      </w:pPr>
    </w:p>
    <w:p w:rsidR="00D91D1F" w:rsidRPr="00E564A6" w:rsidRDefault="00D91D1F" w:rsidP="00D91D1F">
      <w:pPr>
        <w:jc w:val="both"/>
        <w:rPr>
          <w:rFonts w:ascii="Arial" w:hAnsi="Arial" w:cs="Arial"/>
          <w:bCs/>
          <w:sz w:val="20"/>
          <w:szCs w:val="20"/>
        </w:rPr>
      </w:pPr>
      <w:r w:rsidRPr="00E564A6">
        <w:rPr>
          <w:rFonts w:ascii="Arial" w:hAnsi="Arial" w:cs="Arial"/>
          <w:bCs/>
          <w:sz w:val="20"/>
          <w:szCs w:val="20"/>
        </w:rPr>
        <w:t>(2) Z nacionalnim programom se določijo vrstni red prednostnih nalog vzdrževanja in razvoja državnih cest, viri sredstev za njihovo uresničitev ter dinamika in obseg uresničitve posameznih razvojnih nalog za obdobje najmanj štirih let. Določitev prednostnih nalog mora temeljiti na objektivnih prometnih, tehničnih, ekonomskih in okoljskih merilih.</w:t>
      </w:r>
    </w:p>
    <w:p w:rsidR="00D91D1F" w:rsidRPr="00E564A6" w:rsidRDefault="00D91D1F" w:rsidP="00D91D1F">
      <w:pPr>
        <w:jc w:val="both"/>
        <w:rPr>
          <w:rFonts w:ascii="Arial" w:hAnsi="Arial" w:cs="Arial"/>
          <w:bCs/>
          <w:sz w:val="20"/>
          <w:szCs w:val="20"/>
        </w:rPr>
      </w:pPr>
    </w:p>
    <w:p w:rsidR="00D91D1F" w:rsidRPr="00E564A6" w:rsidRDefault="00D91D1F" w:rsidP="00D91D1F">
      <w:pPr>
        <w:jc w:val="both"/>
        <w:rPr>
          <w:rFonts w:ascii="Arial" w:hAnsi="Arial" w:cs="Arial"/>
          <w:bCs/>
          <w:sz w:val="20"/>
          <w:szCs w:val="20"/>
        </w:rPr>
      </w:pPr>
      <w:r w:rsidRPr="00E564A6">
        <w:rPr>
          <w:rFonts w:ascii="Arial" w:hAnsi="Arial" w:cs="Arial"/>
          <w:bCs/>
          <w:sz w:val="20"/>
          <w:szCs w:val="20"/>
        </w:rPr>
        <w:t>(3) Nacionalni program pripravi ministrstvo, pristojno za promet, sprejme pa ga Državni zbor Republike Slovenije na predlog Vlade.</w:t>
      </w:r>
    </w:p>
    <w:p w:rsidR="00D91D1F" w:rsidRPr="00E564A6" w:rsidRDefault="00D91D1F" w:rsidP="00D91D1F">
      <w:pPr>
        <w:jc w:val="both"/>
        <w:rPr>
          <w:rFonts w:ascii="Arial" w:hAnsi="Arial" w:cs="Arial"/>
          <w:bCs/>
          <w:sz w:val="20"/>
          <w:szCs w:val="20"/>
        </w:rPr>
      </w:pPr>
    </w:p>
    <w:p w:rsidR="00D91D1F" w:rsidRPr="00E564A6" w:rsidRDefault="00D91D1F" w:rsidP="00C1387F">
      <w:pPr>
        <w:numPr>
          <w:ilvl w:val="0"/>
          <w:numId w:val="22"/>
        </w:numPr>
        <w:jc w:val="both"/>
        <w:rPr>
          <w:rFonts w:ascii="Arial" w:hAnsi="Arial" w:cs="Arial"/>
          <w:sz w:val="20"/>
          <w:szCs w:val="20"/>
        </w:rPr>
      </w:pPr>
      <w:r w:rsidRPr="00E564A6">
        <w:rPr>
          <w:rFonts w:ascii="Arial" w:hAnsi="Arial" w:cs="Arial"/>
          <w:sz w:val="20"/>
          <w:szCs w:val="20"/>
        </w:rPr>
        <w:t>13. člen Zakon</w:t>
      </w:r>
      <w:r w:rsidR="007A7C23">
        <w:rPr>
          <w:rFonts w:ascii="Arial" w:hAnsi="Arial" w:cs="Arial"/>
          <w:sz w:val="20"/>
          <w:szCs w:val="20"/>
        </w:rPr>
        <w:t xml:space="preserve">a o železniškem prometu </w:t>
      </w:r>
      <w:r w:rsidR="007A7C23" w:rsidRPr="007A7C23">
        <w:rPr>
          <w:rFonts w:ascii="Arial" w:hAnsi="Arial" w:cs="Arial"/>
          <w:sz w:val="20"/>
          <w:szCs w:val="20"/>
        </w:rPr>
        <w:t>(Uradni list RS, št. 99/15-uradno prečiščeno besedilo) določa:</w:t>
      </w:r>
    </w:p>
    <w:p w:rsidR="00D91D1F" w:rsidRPr="00E564A6" w:rsidRDefault="00D91D1F" w:rsidP="00D91D1F">
      <w:pPr>
        <w:jc w:val="both"/>
        <w:rPr>
          <w:rFonts w:ascii="Arial" w:hAnsi="Arial" w:cs="Arial"/>
          <w:bCs/>
          <w:sz w:val="20"/>
          <w:szCs w:val="20"/>
        </w:rPr>
      </w:pPr>
      <w:r w:rsidRPr="00E564A6">
        <w:rPr>
          <w:rFonts w:ascii="Arial" w:hAnsi="Arial" w:cs="Arial"/>
          <w:bCs/>
          <w:sz w:val="20"/>
          <w:szCs w:val="20"/>
        </w:rPr>
        <w:t xml:space="preserve"> (1) Cilji in naloge strategije razvoja javne železniške infrastrukture in vzdrževanja javne železniške infrastrukture se po posvetovanju z zainteresiranimi stranmi natančneje določijo v strategiji razvoja javne železniške infrastrukture, samostojno ali v okviru razvoja celotnega področja prometa (v nadaljnjem besedilu: strategija razvoja), ki jo sprejme Vlada Republike Slovenije za obdobje najmanj petih let in se objavi na spletni strani.</w:t>
      </w:r>
    </w:p>
    <w:p w:rsidR="00D91D1F" w:rsidRPr="00E564A6" w:rsidRDefault="00D91D1F" w:rsidP="00D91D1F">
      <w:pPr>
        <w:jc w:val="both"/>
        <w:rPr>
          <w:rFonts w:ascii="Arial" w:hAnsi="Arial" w:cs="Arial"/>
          <w:bCs/>
          <w:sz w:val="20"/>
          <w:szCs w:val="20"/>
        </w:rPr>
      </w:pPr>
      <w:r w:rsidRPr="00E564A6">
        <w:rPr>
          <w:rFonts w:ascii="Arial" w:hAnsi="Arial" w:cs="Arial"/>
          <w:bCs/>
          <w:sz w:val="20"/>
          <w:szCs w:val="20"/>
        </w:rPr>
        <w:t>(2) S strategijo razvoja se v zvezi z investicijami v javno železniško infrastrukturo in vzdrževanjem javne železniške infrastrukture podrobneje določijo vrstni red prednostnih nalog investicij v javno železniško infrastrukturo in vzdrževanja javne železniške infrastrukture, viri sredstev za njihovo uresničitev ter dinamika in obseg uresničevanja posameznih nalog v načrtovalnem obdobju. Določitev prednostnih nalog mora temeljiti na prometno-političnih in razvojnih ciljih ob upoštevanju objektivnih prometnih, tehničnih, ekonomsko-finančnih in okolje-varstvenih merilih.</w:t>
      </w:r>
    </w:p>
    <w:p w:rsidR="00D91D1F" w:rsidRPr="00E564A6" w:rsidRDefault="00D91D1F" w:rsidP="00D91D1F">
      <w:pPr>
        <w:jc w:val="both"/>
        <w:rPr>
          <w:rFonts w:ascii="Arial" w:hAnsi="Arial" w:cs="Arial"/>
          <w:bCs/>
          <w:sz w:val="20"/>
          <w:szCs w:val="20"/>
        </w:rPr>
      </w:pPr>
      <w:r w:rsidRPr="00E564A6">
        <w:rPr>
          <w:rFonts w:ascii="Arial" w:hAnsi="Arial" w:cs="Arial"/>
          <w:bCs/>
          <w:sz w:val="20"/>
          <w:szCs w:val="20"/>
        </w:rPr>
        <w:t>(3) Na podlagi strategije razvoja na predlog upravljavca ministrstvo sprejme letni načrt obnov in vzdrževanja javne železniške infrastrukture za koledarsko leto.</w:t>
      </w:r>
    </w:p>
    <w:p w:rsidR="00D91D1F" w:rsidRPr="00E564A6" w:rsidRDefault="00D91D1F" w:rsidP="00D91D1F">
      <w:pPr>
        <w:jc w:val="both"/>
        <w:rPr>
          <w:rFonts w:ascii="Arial" w:hAnsi="Arial" w:cs="Arial"/>
          <w:bCs/>
          <w:sz w:val="20"/>
          <w:szCs w:val="20"/>
        </w:rPr>
      </w:pPr>
      <w:r w:rsidRPr="00E564A6">
        <w:rPr>
          <w:rFonts w:ascii="Arial" w:hAnsi="Arial" w:cs="Arial"/>
          <w:bCs/>
          <w:sz w:val="20"/>
          <w:szCs w:val="20"/>
        </w:rPr>
        <w:t>(4) Letni načrt investicij javne železniške infrastrukture na predlog gospodarske družbe iz prvega odstavka 13. a člena tega zakona sprejme ministrstvo.</w:t>
      </w:r>
    </w:p>
    <w:p w:rsidR="00D91D1F" w:rsidRPr="00E564A6" w:rsidRDefault="00D91D1F" w:rsidP="00D91D1F">
      <w:pPr>
        <w:jc w:val="both"/>
        <w:rPr>
          <w:rFonts w:ascii="Arial" w:hAnsi="Arial" w:cs="Arial"/>
          <w:bCs/>
          <w:sz w:val="20"/>
          <w:szCs w:val="20"/>
        </w:rPr>
      </w:pPr>
      <w:r w:rsidRPr="00E564A6">
        <w:rPr>
          <w:rFonts w:ascii="Arial" w:hAnsi="Arial" w:cs="Arial"/>
          <w:bCs/>
          <w:sz w:val="20"/>
          <w:szCs w:val="20"/>
        </w:rPr>
        <w:t>(5) Inženiring v javno železniško infrastrukturo, potreben za izvajanje strategije razvoja javne železniške infrastrukture, obsega zlasti:</w:t>
      </w:r>
    </w:p>
    <w:p w:rsidR="00D91D1F" w:rsidRPr="00E564A6" w:rsidRDefault="00D91D1F" w:rsidP="00C1387F">
      <w:pPr>
        <w:numPr>
          <w:ilvl w:val="0"/>
          <w:numId w:val="22"/>
        </w:numPr>
        <w:jc w:val="both"/>
        <w:rPr>
          <w:rFonts w:ascii="Arial" w:hAnsi="Arial" w:cs="Arial"/>
          <w:sz w:val="20"/>
          <w:szCs w:val="20"/>
        </w:rPr>
      </w:pPr>
      <w:r w:rsidRPr="00E564A6">
        <w:rPr>
          <w:rFonts w:ascii="Arial" w:hAnsi="Arial" w:cs="Arial"/>
          <w:sz w:val="20"/>
          <w:szCs w:val="20"/>
        </w:rPr>
        <w:t>pripravo, organiziranje in koordinacijo investicij v vseh fazah investicijskega procesa;</w:t>
      </w:r>
    </w:p>
    <w:p w:rsidR="00D91D1F" w:rsidRPr="00E564A6" w:rsidRDefault="00D91D1F" w:rsidP="00C1387F">
      <w:pPr>
        <w:numPr>
          <w:ilvl w:val="0"/>
          <w:numId w:val="22"/>
        </w:numPr>
        <w:jc w:val="both"/>
        <w:rPr>
          <w:rFonts w:ascii="Arial" w:hAnsi="Arial" w:cs="Arial"/>
          <w:sz w:val="20"/>
          <w:szCs w:val="20"/>
        </w:rPr>
      </w:pPr>
      <w:r w:rsidRPr="00E564A6">
        <w:rPr>
          <w:rFonts w:ascii="Arial" w:hAnsi="Arial" w:cs="Arial"/>
          <w:sz w:val="20"/>
          <w:szCs w:val="20"/>
        </w:rPr>
        <w:t>organiziranje in izvajanje revizij projektne dokumentacije.«.</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 xml:space="preserve">Strategija razvoja prometa ne izpolnjuje vseh vsebinskih zahtev, ki jih navaja Zakon o železniškem prometu v 13. členu. Zato je tudi s tega vidika nujna priprava podrobnejšega programa izvajanja aktivnosti na tem področju. </w:t>
      </w:r>
    </w:p>
    <w:p w:rsidR="00D91D1F" w:rsidRPr="00E564A6" w:rsidRDefault="00D91D1F" w:rsidP="00D91D1F">
      <w:pPr>
        <w:jc w:val="both"/>
        <w:rPr>
          <w:rFonts w:ascii="Arial" w:hAnsi="Arial" w:cs="Arial"/>
          <w:sz w:val="20"/>
          <w:szCs w:val="20"/>
        </w:rPr>
      </w:pPr>
    </w:p>
    <w:p w:rsidR="00D91D1F" w:rsidRPr="00E564A6" w:rsidRDefault="00D91D1F" w:rsidP="004B1F80">
      <w:pPr>
        <w:numPr>
          <w:ilvl w:val="0"/>
          <w:numId w:val="22"/>
        </w:numPr>
        <w:jc w:val="both"/>
        <w:rPr>
          <w:rFonts w:ascii="Arial" w:hAnsi="Arial" w:cs="Arial"/>
          <w:sz w:val="20"/>
          <w:szCs w:val="20"/>
        </w:rPr>
      </w:pPr>
      <w:r w:rsidRPr="00E564A6">
        <w:rPr>
          <w:rFonts w:ascii="Arial" w:hAnsi="Arial" w:cs="Arial"/>
          <w:sz w:val="20"/>
          <w:szCs w:val="20"/>
        </w:rPr>
        <w:lastRenderedPageBreak/>
        <w:t xml:space="preserve">33. člen Pomorskega zakonika (Uradni list RS, </w:t>
      </w:r>
      <w:r w:rsidR="004B1F80" w:rsidRPr="004B1F80">
        <w:rPr>
          <w:rFonts w:ascii="Arial" w:hAnsi="Arial" w:cs="Arial"/>
          <w:sz w:val="20"/>
          <w:szCs w:val="20"/>
        </w:rPr>
        <w:t>št. 120/06 – uradno prečiščeno besedilo, 88/10, 59/11 in 33/16</w:t>
      </w:r>
      <w:r w:rsidRPr="00E564A6">
        <w:rPr>
          <w:rFonts w:ascii="Arial" w:hAnsi="Arial" w:cs="Arial"/>
          <w:sz w:val="20"/>
          <w:szCs w:val="20"/>
        </w:rPr>
        <w:t>) določa:</w:t>
      </w:r>
    </w:p>
    <w:p w:rsidR="00D91D1F" w:rsidRPr="00E564A6" w:rsidRDefault="00D91D1F" w:rsidP="00D91D1F">
      <w:pPr>
        <w:jc w:val="both"/>
        <w:rPr>
          <w:rFonts w:ascii="Arial" w:hAnsi="Arial" w:cs="Arial"/>
          <w:sz w:val="20"/>
          <w:szCs w:val="20"/>
        </w:rPr>
      </w:pPr>
      <w:r w:rsidRPr="00E564A6">
        <w:rPr>
          <w:rFonts w:ascii="Arial" w:hAnsi="Arial" w:cs="Arial"/>
          <w:sz w:val="20"/>
          <w:szCs w:val="20"/>
        </w:rPr>
        <w:t>» Usmeritve za trajnostni razvoj pomorstva in zagotavljanje varnosti pomorskega prometa se določijo z nacionalnim programom razvoja pomorstva Republike Slovenije, ki ga na predlog vlade sprejme Državni zbor Republike Slovenije (</w:t>
      </w:r>
      <w:r w:rsidRPr="00E564A6">
        <w:rPr>
          <w:rFonts w:ascii="Arial" w:hAnsi="Arial" w:cs="Arial"/>
          <w:bCs/>
          <w:sz w:val="20"/>
          <w:szCs w:val="20"/>
        </w:rPr>
        <w:t>in strategijo razvoja prometa Republike Slovenije, ki jo sprejme Vlada - predlog Sprememb in dopolnitev PZ v prvi obravnavi v DZ)</w:t>
      </w:r>
      <w:r w:rsidRPr="00E564A6">
        <w:rPr>
          <w:rFonts w:ascii="Arial" w:hAnsi="Arial" w:cs="Arial"/>
          <w:sz w:val="20"/>
          <w:szCs w:val="20"/>
        </w:rPr>
        <w:t>«.</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bCs/>
          <w:sz w:val="20"/>
          <w:szCs w:val="20"/>
        </w:rPr>
      </w:pPr>
      <w:r w:rsidRPr="00E564A6">
        <w:rPr>
          <w:rFonts w:ascii="Arial" w:hAnsi="Arial" w:cs="Arial"/>
          <w:sz w:val="20"/>
          <w:szCs w:val="20"/>
        </w:rPr>
        <w:t>Nacionalni program razvoja prometa vključuje tudi vsebine, ki se poleg razvoja mednarodnega pristanišča v Kopru, nanašajo tudi na ukrepe za razvoj prometa po celinskih vodah in na druge razvojne projekte s področja vodnega prometa.</w:t>
      </w:r>
    </w:p>
    <w:p w:rsidR="00D91D1F" w:rsidRPr="00E564A6" w:rsidRDefault="00D91D1F" w:rsidP="00D91D1F">
      <w:pPr>
        <w:jc w:val="both"/>
        <w:rPr>
          <w:rFonts w:ascii="Arial" w:hAnsi="Arial" w:cs="Arial"/>
          <w:sz w:val="20"/>
          <w:szCs w:val="20"/>
        </w:rPr>
      </w:pPr>
    </w:p>
    <w:p w:rsidR="00D91D1F" w:rsidRPr="00E564A6" w:rsidRDefault="00D91D1F" w:rsidP="00C1387F">
      <w:pPr>
        <w:numPr>
          <w:ilvl w:val="0"/>
          <w:numId w:val="22"/>
        </w:numPr>
        <w:jc w:val="both"/>
        <w:rPr>
          <w:rFonts w:ascii="Arial" w:hAnsi="Arial" w:cs="Arial"/>
          <w:sz w:val="20"/>
          <w:szCs w:val="20"/>
        </w:rPr>
      </w:pPr>
      <w:r w:rsidRPr="00E564A6">
        <w:rPr>
          <w:rFonts w:ascii="Arial" w:hAnsi="Arial" w:cs="Arial"/>
          <w:sz w:val="20"/>
          <w:szCs w:val="20"/>
        </w:rPr>
        <w:t>Zakon o letalstvu (Uradni list RS št. 81/10 – uradno preči</w:t>
      </w:r>
      <w:r w:rsidR="007A7C23">
        <w:rPr>
          <w:rFonts w:ascii="Arial" w:hAnsi="Arial" w:cs="Arial"/>
          <w:sz w:val="20"/>
          <w:szCs w:val="20"/>
        </w:rPr>
        <w:t xml:space="preserve">ščeno besedilo, v nadaljevanju: </w:t>
      </w:r>
      <w:r w:rsidRPr="00E564A6">
        <w:rPr>
          <w:rFonts w:ascii="Arial" w:hAnsi="Arial" w:cs="Arial"/>
          <w:sz w:val="20"/>
          <w:szCs w:val="20"/>
        </w:rPr>
        <w:t>ZLet) v 6. členu določa:</w:t>
      </w:r>
    </w:p>
    <w:p w:rsidR="00D91D1F" w:rsidRPr="00E564A6" w:rsidRDefault="00D91D1F" w:rsidP="00D91D1F">
      <w:pPr>
        <w:jc w:val="both"/>
        <w:rPr>
          <w:rFonts w:ascii="Arial" w:hAnsi="Arial" w:cs="Arial"/>
          <w:sz w:val="20"/>
          <w:szCs w:val="20"/>
        </w:rPr>
      </w:pPr>
      <w:r w:rsidRPr="00E564A6">
        <w:rPr>
          <w:rFonts w:ascii="Arial" w:hAnsi="Arial" w:cs="Arial"/>
          <w:sz w:val="20"/>
          <w:szCs w:val="20"/>
        </w:rPr>
        <w:t>da se usmeritve za trajnostni razvoj civilnega letalstva in zagotavljanje varnosti zračnega prometa določijo z nacionalnim programom razvoja civilnega letalstva Republike Slovenije, ki ga na predlog Vlade Republike Slovenije sprejme Državni zbor Republike Slovenije.</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ZLet v drugem odstavku 6. člena še določa, da se kot izvedbene programe za posamezna letališča izdelajo usklajeni programi razvoja letališč, tako da se zagotovi sistem letališč v skladu z namenom iz 86. člena tega zakona in ob upoštevanju javnega interesa kot tudi razvojnih potreb obratovalcev in uporabnikov letališč ter navigacijskih služb zračnega prometa.</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Skladno z zahtevo iz prvega odstavka 6. člena ZLet je Državni zbor sprejel Resolucijo o nacionalnem programu razvoja civilnega letalstva Republike Slovenije do leta 2020 (Uradni list RS, št. 9/10), Vlada RS pa je s Sklepom o opredelitvi sistema javnih letališč (Uradni list RS, št. 78/2006) jasno določila sistem javnih letališč.</w:t>
      </w:r>
    </w:p>
    <w:p w:rsidR="00D91D1F" w:rsidRPr="00E564A6" w:rsidRDefault="00D91D1F" w:rsidP="00D91D1F">
      <w:pPr>
        <w:jc w:val="both"/>
        <w:rPr>
          <w:rFonts w:ascii="Arial" w:hAnsi="Arial" w:cs="Arial"/>
          <w:sz w:val="20"/>
          <w:szCs w:val="20"/>
        </w:rPr>
      </w:pPr>
    </w:p>
    <w:p w:rsidR="00D91D1F" w:rsidRPr="00E564A6" w:rsidRDefault="00D91D1F" w:rsidP="00C1387F">
      <w:pPr>
        <w:numPr>
          <w:ilvl w:val="0"/>
          <w:numId w:val="22"/>
        </w:numPr>
        <w:jc w:val="both"/>
        <w:rPr>
          <w:rFonts w:ascii="Arial" w:hAnsi="Arial" w:cs="Arial"/>
          <w:sz w:val="20"/>
          <w:szCs w:val="20"/>
        </w:rPr>
      </w:pPr>
      <w:r w:rsidRPr="00E564A6">
        <w:rPr>
          <w:rFonts w:ascii="Arial" w:hAnsi="Arial" w:cs="Arial"/>
          <w:sz w:val="20"/>
          <w:szCs w:val="20"/>
        </w:rPr>
        <w:t>Poleg omenjenih zakonskih določil tudi računsko sodišče v Revizijskem poročilu »Modernizacija cestne in železniške infrastrukture na 3. a razvojni osi, št. 320-1/2013/90 z dne 14. julija 2015«, vidi glavni razlog za neučinkovitost v dejstvu, da Republika Slovenija nima nacionalnega programa za področje državnih cest in prav tako ne posodobljenega nacionalnega programa razvoja javne železniške infrastrukture.</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Na podlagi zgoraj navedenega Ministrstvo za infrastrukturo predlaga Vladi RS in Državnemu zboru RS, da sprejme Resolucijo o nacionalnem programu razvoja prometa v Republiki Sloveniji.</w:t>
      </w:r>
    </w:p>
    <w:p w:rsidR="00D91D1F" w:rsidRPr="00D91D1F" w:rsidRDefault="00D91D1F" w:rsidP="00D91D1F">
      <w:pPr>
        <w:jc w:val="both"/>
        <w:rPr>
          <w:rFonts w:ascii="Arial" w:hAnsi="Arial" w:cs="Arial"/>
          <w:szCs w:val="22"/>
        </w:rPr>
      </w:pPr>
    </w:p>
    <w:p w:rsidR="00D91D1F" w:rsidRPr="008661AD" w:rsidRDefault="00D91D1F" w:rsidP="0063511F">
      <w:pPr>
        <w:pStyle w:val="Naslov"/>
        <w:rPr>
          <w:rStyle w:val="Naslovknjige"/>
          <w:b/>
          <w:bCs/>
          <w:smallCaps w:val="0"/>
          <w:spacing w:val="0"/>
        </w:rPr>
      </w:pPr>
      <w:bookmarkStart w:id="4" w:name="_Toc427586056"/>
      <w:bookmarkStart w:id="5" w:name="_Toc427586213"/>
      <w:bookmarkStart w:id="6" w:name="_Toc427586267"/>
      <w:bookmarkStart w:id="7" w:name="_Toc427586057"/>
      <w:bookmarkStart w:id="8" w:name="_Toc427586214"/>
      <w:bookmarkStart w:id="9" w:name="_Toc427586268"/>
      <w:bookmarkStart w:id="10" w:name="_Toc427586058"/>
      <w:bookmarkStart w:id="11" w:name="_Toc427586215"/>
      <w:bookmarkStart w:id="12" w:name="_Toc427586269"/>
      <w:bookmarkStart w:id="13" w:name="_Toc427586059"/>
      <w:bookmarkStart w:id="14" w:name="_Toc427586216"/>
      <w:bookmarkStart w:id="15" w:name="_Toc427586270"/>
      <w:bookmarkEnd w:id="4"/>
      <w:bookmarkEnd w:id="5"/>
      <w:bookmarkEnd w:id="6"/>
      <w:bookmarkEnd w:id="7"/>
      <w:bookmarkEnd w:id="8"/>
      <w:bookmarkEnd w:id="9"/>
      <w:bookmarkEnd w:id="10"/>
      <w:bookmarkEnd w:id="11"/>
      <w:bookmarkEnd w:id="12"/>
      <w:bookmarkEnd w:id="13"/>
      <w:bookmarkEnd w:id="14"/>
      <w:bookmarkEnd w:id="15"/>
      <w:r w:rsidRPr="00D91D1F">
        <w:rPr>
          <w:caps/>
        </w:rPr>
        <w:br w:type="page"/>
      </w:r>
      <w:bookmarkStart w:id="16" w:name="_Toc456688567"/>
      <w:r w:rsidR="0063511F">
        <w:rPr>
          <w:caps/>
        </w:rPr>
        <w:lastRenderedPageBreak/>
        <w:t>3.</w:t>
      </w:r>
      <w:r w:rsidR="0063511F">
        <w:rPr>
          <w:caps/>
        </w:rPr>
        <w:tab/>
      </w:r>
      <w:bookmarkStart w:id="17" w:name="_Toc443029064"/>
      <w:r w:rsidRPr="008661AD">
        <w:rPr>
          <w:rStyle w:val="Naslovknjige"/>
          <w:b/>
          <w:bCs/>
          <w:smallCaps w:val="0"/>
          <w:spacing w:val="0"/>
        </w:rPr>
        <w:t>IZHODIŠČA ZA PRIPRAVO</w:t>
      </w:r>
      <w:bookmarkEnd w:id="16"/>
      <w:bookmarkEnd w:id="17"/>
    </w:p>
    <w:p w:rsidR="00D91D1F" w:rsidRPr="00D91D1F" w:rsidRDefault="00D91D1F" w:rsidP="00D91D1F">
      <w:pPr>
        <w:jc w:val="both"/>
        <w:rPr>
          <w:rFonts w:ascii="Arial" w:hAnsi="Arial" w:cs="Arial"/>
          <w:szCs w:val="22"/>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Konceptualno strateška podlaga za Nacionalni program je Strategija, ki analitično in pozitivno kritično obravnava dosedanji parcialni koncept razvoja prometa v RS, ki je potekal predvsem v smeri izgradnje avtocest ter hitrih cest in s tem povezanega prometa. Poleg tega pa analizira tudi domačo in evropsko zakonodajo na tem področju ter politične usmeritve RS in EU.</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V svojih zaključkih se je Strategija osredotočila na opredelitev vseh ukrepov, ki so potrebni za nadaljnji, z dejanskimi prometnimi potrebami in razvojnimi cilji bolj skladen razvoj prometnega področja v RS, brez izpostavljanja finančnega vidika, nosilcev in časovnega horizonta. Tak pristop je bil nujen, da so lahko v Strategiji prvič zajeta vsa področja prometa, ki so tudi celovito in medsebojno skladno obravnavana, vendar na splošni ravni identifikacije potreb in ciljev, brez finančnih in drugih omejitev. Poleg tega je bil takšen pristop zaželen tudi s strani EU inštitucij za zagotovitev predhodnih pogojenosti za črpanje EU sredstev evropske kohezijske politike v finančni perspektivi 2014–2020.</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Za učinkovito implementacijo Strategije je zato pripravljen Nacionalni program. Ta dokument služi za izvajanje sprejete Strategije, s prednostnim vrstnim redom izvedbe aktivnosti za realizacijo ukrepov. Dokument določa nosilce aktivnosti ter opredeljuje potrebne  finančne vire in določa časovni okvir za izvedbo aktivnosti. Za konkretnejšo izvedbo posameznih ukrepov pa se predvideva tudi sprejem 6-letnega operativnega načrta za izvajanje Nacionalnega programa na nivoju Vlade RS.</w:t>
      </w:r>
    </w:p>
    <w:p w:rsidR="00D91D1F" w:rsidRPr="00E564A6" w:rsidRDefault="00D91D1F" w:rsidP="00D91D1F">
      <w:pPr>
        <w:rPr>
          <w:rFonts w:ascii="Arial" w:hAnsi="Arial" w:cs="Arial"/>
          <w:sz w:val="20"/>
          <w:szCs w:val="20"/>
        </w:rPr>
      </w:pPr>
    </w:p>
    <w:p w:rsidR="00D91D1F" w:rsidRPr="00E564A6" w:rsidRDefault="00D91D1F" w:rsidP="00D91D1F">
      <w:pPr>
        <w:jc w:val="both"/>
        <w:rPr>
          <w:rFonts w:ascii="Arial" w:hAnsi="Arial" w:cs="Arial"/>
          <w:sz w:val="20"/>
          <w:szCs w:val="20"/>
          <w:u w:val="single"/>
        </w:rPr>
      </w:pPr>
      <w:r w:rsidRPr="00E564A6">
        <w:rPr>
          <w:rFonts w:ascii="Arial" w:hAnsi="Arial" w:cs="Arial"/>
          <w:sz w:val="20"/>
          <w:szCs w:val="20"/>
        </w:rPr>
        <w:t xml:space="preserve">Za Strategijo je bila izvedena tudi celovita presoja vplivov na okolje, vključno s presojo morebitnih čezmejnih vplivov na sosednje države. </w:t>
      </w:r>
      <w:r w:rsidR="003C00BD">
        <w:rPr>
          <w:rFonts w:ascii="Arial" w:hAnsi="Arial" w:cs="Arial"/>
          <w:sz w:val="20"/>
          <w:szCs w:val="20"/>
        </w:rPr>
        <w:t>Tudi Nacionalni program v celoti sledi zaključkom in priporočilom okoljskega poročila za obstoječo in novo infrastrukturo, vključno s preprečevanjem izgube biotske raznovrstnosti in ekosistemskih storitev. Zaključki okoljskega poročila bodo spoštovani tudi pri pripravi oz. izvajanju konkretnejših aktivnosti oz. projektov za izvedbo ukrepov iz Strategije.</w:t>
      </w:r>
    </w:p>
    <w:p w:rsidR="00D91D1F" w:rsidRPr="00D91D1F" w:rsidRDefault="00D91D1F" w:rsidP="00D91D1F">
      <w:pPr>
        <w:rPr>
          <w:rStyle w:val="Neensklic"/>
          <w:rFonts w:ascii="Arial" w:hAnsi="Arial" w:cs="Arial"/>
          <w:color w:val="000000"/>
        </w:rPr>
      </w:pPr>
      <w:r w:rsidRPr="00D91D1F">
        <w:rPr>
          <w:rFonts w:ascii="Arial" w:hAnsi="Arial" w:cs="Arial"/>
        </w:rPr>
        <w:br w:type="page"/>
      </w:r>
    </w:p>
    <w:p w:rsidR="00D91D1F" w:rsidRPr="008661AD" w:rsidRDefault="00D91D1F" w:rsidP="00E6001D">
      <w:pPr>
        <w:pStyle w:val="Naslov"/>
        <w:numPr>
          <w:ilvl w:val="0"/>
          <w:numId w:val="24"/>
        </w:numPr>
        <w:ind w:left="567" w:hanging="567"/>
        <w:rPr>
          <w:rStyle w:val="Naslovknjige"/>
          <w:b/>
        </w:rPr>
      </w:pPr>
      <w:bookmarkStart w:id="18" w:name="_Toc443029065"/>
      <w:bookmarkStart w:id="19" w:name="_Toc456688568"/>
      <w:r w:rsidRPr="008661AD">
        <w:rPr>
          <w:rStyle w:val="Naslovknjige"/>
          <w:b/>
        </w:rPr>
        <w:lastRenderedPageBreak/>
        <w:t>NAMEN PRIPRAVE NACIONALNEGA PROGRAMA IN KLJUČNE USMERITVE</w:t>
      </w:r>
      <w:bookmarkEnd w:id="18"/>
      <w:bookmarkEnd w:id="19"/>
    </w:p>
    <w:p w:rsidR="00D91D1F" w:rsidRDefault="00D91D1F" w:rsidP="00D91D1F">
      <w:pPr>
        <w:jc w:val="both"/>
        <w:rPr>
          <w:rFonts w:ascii="Arial" w:hAnsi="Arial" w:cs="Arial"/>
          <w:szCs w:val="22"/>
        </w:rPr>
      </w:pPr>
    </w:p>
    <w:p w:rsidR="009047E1" w:rsidRPr="00D91D1F" w:rsidRDefault="009047E1" w:rsidP="00D91D1F">
      <w:pPr>
        <w:jc w:val="both"/>
        <w:rPr>
          <w:rFonts w:ascii="Arial" w:hAnsi="Arial" w:cs="Arial"/>
          <w:szCs w:val="22"/>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Temeljni namen priprave Nacionalnega programa je:</w:t>
      </w:r>
    </w:p>
    <w:p w:rsidR="00D91D1F" w:rsidRPr="00E564A6" w:rsidRDefault="00D91D1F" w:rsidP="00963EDA">
      <w:pPr>
        <w:numPr>
          <w:ilvl w:val="0"/>
          <w:numId w:val="11"/>
        </w:numPr>
        <w:ind w:left="426" w:hanging="349"/>
        <w:jc w:val="both"/>
        <w:rPr>
          <w:rFonts w:ascii="Arial" w:hAnsi="Arial" w:cs="Arial"/>
          <w:sz w:val="20"/>
          <w:szCs w:val="20"/>
        </w:rPr>
      </w:pPr>
      <w:r w:rsidRPr="00E564A6">
        <w:rPr>
          <w:rFonts w:ascii="Arial" w:hAnsi="Arial" w:cs="Arial"/>
          <w:sz w:val="20"/>
          <w:szCs w:val="20"/>
        </w:rPr>
        <w:t xml:space="preserve">na podlagi ukrepov iz Strategije določiti konkretnejše aktivnosti za celovit razvoj prometa in prometne infrastrukture ter njihove nosilce, </w:t>
      </w:r>
    </w:p>
    <w:p w:rsidR="00D91D1F" w:rsidRPr="00E564A6" w:rsidRDefault="00D91D1F" w:rsidP="00963EDA">
      <w:pPr>
        <w:numPr>
          <w:ilvl w:val="0"/>
          <w:numId w:val="11"/>
        </w:numPr>
        <w:ind w:left="426" w:hanging="349"/>
        <w:jc w:val="both"/>
        <w:rPr>
          <w:rFonts w:ascii="Arial" w:hAnsi="Arial" w:cs="Arial"/>
          <w:sz w:val="20"/>
          <w:szCs w:val="20"/>
        </w:rPr>
      </w:pPr>
      <w:r w:rsidRPr="00E564A6">
        <w:rPr>
          <w:rFonts w:ascii="Arial" w:hAnsi="Arial" w:cs="Arial"/>
          <w:sz w:val="20"/>
          <w:szCs w:val="20"/>
        </w:rPr>
        <w:t>izvedbo konkretnih aktivnosti pregledno časovno opredeliti v odvisnosti od zagotovitve rednega in enakomernega financiranja.</w:t>
      </w:r>
    </w:p>
    <w:p w:rsidR="009047E1" w:rsidRDefault="009047E1" w:rsidP="00D91D1F">
      <w:pPr>
        <w:jc w:val="both"/>
        <w:rPr>
          <w:rFonts w:ascii="Arial" w:hAnsi="Arial" w:cs="Arial"/>
          <w:sz w:val="20"/>
          <w:szCs w:val="20"/>
        </w:rPr>
      </w:pPr>
    </w:p>
    <w:p w:rsidR="009047E1" w:rsidRPr="00E564A6" w:rsidRDefault="009047E1" w:rsidP="00D91D1F">
      <w:pPr>
        <w:jc w:val="both"/>
        <w:rPr>
          <w:rFonts w:ascii="Arial" w:hAnsi="Arial" w:cs="Arial"/>
          <w:sz w:val="20"/>
          <w:szCs w:val="20"/>
        </w:rPr>
      </w:pPr>
    </w:p>
    <w:p w:rsidR="00CA75C0" w:rsidRPr="001B0A14" w:rsidRDefault="00B46635" w:rsidP="00B46635">
      <w:pPr>
        <w:pStyle w:val="Naslov2"/>
        <w:ind w:left="567" w:hanging="567"/>
      </w:pPr>
      <w:bookmarkStart w:id="20" w:name="_Toc456688569"/>
      <w:r>
        <w:t>4.1</w:t>
      </w:r>
      <w:r>
        <w:tab/>
      </w:r>
      <w:r w:rsidR="00D91D1F" w:rsidRPr="001B0A14">
        <w:t>Temeljna izhodišča Strategije razvoja prometa v RS, na katerih temelji Nacionalni program</w:t>
      </w:r>
      <w:bookmarkEnd w:id="20"/>
    </w:p>
    <w:p w:rsidR="009047E1" w:rsidRDefault="009047E1"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Nacionalni program v prvi vrsti sledi viziji ter splošnim in posebnim ciljem, ki so določeni v Strategiji. S splošnimi cilji se preverjajo rezultati (učinki) izvajanja ukrepov na področju prometa, medtem ko s posebnimi cilji določamo, kaj je potrebno narediti, da bodo odpravljene ugotovljene težave in doseženi želeni rezultati – učinki.</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Vizija prometne politike je tako opredeljena kot zagotavljanje trajnostne mobilnosti prebivalstva in oskrbe gospodarstva z naslednjimi cilji:</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izboljšati mobilnost in dostopnost,</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izboljšati oskrbo gospodarstva,</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izboljšati prometno varnost in varovanje,</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zmanjšati porabo energije,</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zmanjšati stroške uporabnikov in upravljavcev ter</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zmanjšati okoljske obremenitve.</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Posebni cilji podrobneje določajo, kaj je treba storiti, da bodo odpravljene ugotovljene težave. Za vsakega izmed njih so nadrobneje določeni vidiki in/ali prometno-gravitacijska območja, na katerih je treba rešiti težave, in sicer:</w:t>
      </w:r>
    </w:p>
    <w:p w:rsidR="00D91D1F" w:rsidRPr="00E564A6" w:rsidRDefault="00D91D1F" w:rsidP="00C1387F">
      <w:pPr>
        <w:numPr>
          <w:ilvl w:val="0"/>
          <w:numId w:val="11"/>
        </w:numPr>
        <w:ind w:left="709" w:hanging="349"/>
        <w:jc w:val="both"/>
        <w:rPr>
          <w:rFonts w:ascii="Arial" w:hAnsi="Arial" w:cs="Arial"/>
          <w:sz w:val="20"/>
          <w:szCs w:val="20"/>
        </w:rPr>
      </w:pPr>
      <w:r w:rsidRPr="00E564A6">
        <w:rPr>
          <w:rFonts w:ascii="Arial" w:hAnsi="Arial" w:cs="Arial"/>
          <w:b/>
          <w:sz w:val="20"/>
          <w:szCs w:val="20"/>
        </w:rPr>
        <w:t>Posebni cilj št. 1</w:t>
      </w:r>
      <w:r w:rsidRPr="00E564A6">
        <w:rPr>
          <w:rFonts w:ascii="Arial" w:hAnsi="Arial" w:cs="Arial"/>
          <w:sz w:val="20"/>
          <w:szCs w:val="20"/>
        </w:rPr>
        <w:t>: izboljšanje prometnih povezav in uskladitev s sosednjimi državami</w:t>
      </w:r>
    </w:p>
    <w:p w:rsidR="00D91D1F" w:rsidRPr="00E564A6" w:rsidRDefault="00D91D1F" w:rsidP="00963EDA">
      <w:pPr>
        <w:numPr>
          <w:ilvl w:val="1"/>
          <w:numId w:val="11"/>
        </w:numPr>
        <w:ind w:left="993"/>
        <w:rPr>
          <w:rFonts w:ascii="Arial" w:hAnsi="Arial" w:cs="Arial"/>
          <w:sz w:val="20"/>
          <w:szCs w:val="20"/>
        </w:rPr>
      </w:pPr>
      <w:r w:rsidRPr="00E564A6">
        <w:rPr>
          <w:rFonts w:ascii="Arial" w:hAnsi="Arial" w:cs="Arial"/>
          <w:sz w:val="20"/>
          <w:szCs w:val="20"/>
        </w:rPr>
        <w:t>Podcilj 1a: odprava zastojev na meji</w:t>
      </w:r>
    </w:p>
    <w:p w:rsidR="00D91D1F" w:rsidRPr="00E564A6" w:rsidRDefault="00D91D1F" w:rsidP="00963EDA">
      <w:pPr>
        <w:numPr>
          <w:ilvl w:val="1"/>
          <w:numId w:val="11"/>
        </w:numPr>
        <w:ind w:left="993"/>
        <w:rPr>
          <w:rFonts w:ascii="Arial" w:hAnsi="Arial" w:cs="Arial"/>
          <w:sz w:val="20"/>
          <w:szCs w:val="20"/>
        </w:rPr>
      </w:pPr>
      <w:r w:rsidRPr="00E564A6">
        <w:rPr>
          <w:rFonts w:ascii="Arial" w:hAnsi="Arial" w:cs="Arial"/>
          <w:sz w:val="20"/>
          <w:szCs w:val="20"/>
        </w:rPr>
        <w:t>Podcilj 1b: izboljšanje dostopnosti mednarodnega potniškega prometa (vključno s tranzitnim prometom)</w:t>
      </w:r>
    </w:p>
    <w:p w:rsidR="00D91D1F" w:rsidRPr="00E564A6" w:rsidRDefault="00D91D1F" w:rsidP="00963EDA">
      <w:pPr>
        <w:numPr>
          <w:ilvl w:val="1"/>
          <w:numId w:val="11"/>
        </w:numPr>
        <w:ind w:left="993"/>
        <w:rPr>
          <w:rFonts w:ascii="Arial" w:hAnsi="Arial" w:cs="Arial"/>
          <w:sz w:val="20"/>
          <w:szCs w:val="20"/>
        </w:rPr>
      </w:pPr>
      <w:r w:rsidRPr="00E564A6">
        <w:rPr>
          <w:rFonts w:ascii="Arial" w:hAnsi="Arial" w:cs="Arial"/>
          <w:sz w:val="20"/>
          <w:szCs w:val="20"/>
        </w:rPr>
        <w:t>Podcilj 1c: izboljšanje dostopnosti mednarodnega tovornega prometa (vključno s tranzitnim prometom)</w:t>
      </w:r>
    </w:p>
    <w:p w:rsidR="00D91D1F" w:rsidRPr="00E564A6" w:rsidRDefault="00D91D1F" w:rsidP="00D91D1F">
      <w:pPr>
        <w:ind w:left="1440"/>
        <w:jc w:val="both"/>
        <w:rPr>
          <w:rFonts w:ascii="Arial" w:hAnsi="Arial" w:cs="Arial"/>
          <w:sz w:val="20"/>
          <w:szCs w:val="20"/>
        </w:rPr>
      </w:pPr>
    </w:p>
    <w:p w:rsidR="00D91D1F" w:rsidRPr="00E564A6" w:rsidRDefault="00D91D1F" w:rsidP="00C1387F">
      <w:pPr>
        <w:numPr>
          <w:ilvl w:val="0"/>
          <w:numId w:val="11"/>
        </w:numPr>
        <w:ind w:left="709" w:hanging="349"/>
        <w:jc w:val="both"/>
        <w:rPr>
          <w:rFonts w:ascii="Arial" w:hAnsi="Arial" w:cs="Arial"/>
          <w:sz w:val="20"/>
          <w:szCs w:val="20"/>
        </w:rPr>
      </w:pPr>
      <w:r w:rsidRPr="00E564A6">
        <w:rPr>
          <w:rFonts w:ascii="Arial" w:hAnsi="Arial" w:cs="Arial"/>
          <w:b/>
          <w:sz w:val="20"/>
          <w:szCs w:val="20"/>
        </w:rPr>
        <w:t>Posebni cilj št. 2</w:t>
      </w:r>
      <w:r w:rsidRPr="00E564A6">
        <w:rPr>
          <w:rFonts w:ascii="Arial" w:hAnsi="Arial" w:cs="Arial"/>
          <w:sz w:val="20"/>
          <w:szCs w:val="20"/>
        </w:rPr>
        <w:t xml:space="preserve">: izboljšanje državne in regionalne povezanosti znotraj Slovenije </w:t>
      </w:r>
    </w:p>
    <w:p w:rsidR="00D91D1F" w:rsidRPr="00E564A6" w:rsidRDefault="00D91D1F" w:rsidP="00963EDA">
      <w:pPr>
        <w:numPr>
          <w:ilvl w:val="1"/>
          <w:numId w:val="11"/>
        </w:numPr>
        <w:ind w:left="993"/>
        <w:rPr>
          <w:rFonts w:ascii="Arial" w:hAnsi="Arial" w:cs="Arial"/>
          <w:sz w:val="20"/>
          <w:szCs w:val="20"/>
        </w:rPr>
      </w:pPr>
      <w:r w:rsidRPr="00E564A6">
        <w:rPr>
          <w:rFonts w:ascii="Arial" w:hAnsi="Arial" w:cs="Arial"/>
          <w:sz w:val="20"/>
          <w:szCs w:val="20"/>
        </w:rPr>
        <w:t>Podcilj 2a: severovzhodna Slovenija</w:t>
      </w:r>
    </w:p>
    <w:p w:rsidR="00D91D1F" w:rsidRPr="00E564A6" w:rsidRDefault="00D91D1F" w:rsidP="00963EDA">
      <w:pPr>
        <w:numPr>
          <w:ilvl w:val="1"/>
          <w:numId w:val="11"/>
        </w:numPr>
        <w:ind w:left="993"/>
        <w:rPr>
          <w:rFonts w:ascii="Arial" w:hAnsi="Arial" w:cs="Arial"/>
          <w:sz w:val="20"/>
          <w:szCs w:val="20"/>
        </w:rPr>
      </w:pPr>
      <w:r w:rsidRPr="00E564A6">
        <w:rPr>
          <w:rFonts w:ascii="Arial" w:hAnsi="Arial" w:cs="Arial"/>
          <w:sz w:val="20"/>
          <w:szCs w:val="20"/>
        </w:rPr>
        <w:t>Podcilj 2b: jugovzhodna Slovenija</w:t>
      </w:r>
    </w:p>
    <w:p w:rsidR="00D91D1F" w:rsidRPr="00E564A6" w:rsidRDefault="00D91D1F" w:rsidP="00963EDA">
      <w:pPr>
        <w:numPr>
          <w:ilvl w:val="1"/>
          <w:numId w:val="11"/>
        </w:numPr>
        <w:ind w:left="993"/>
        <w:rPr>
          <w:rFonts w:ascii="Arial" w:hAnsi="Arial" w:cs="Arial"/>
          <w:sz w:val="20"/>
          <w:szCs w:val="20"/>
        </w:rPr>
      </w:pPr>
      <w:r w:rsidRPr="00E564A6">
        <w:rPr>
          <w:rFonts w:ascii="Arial" w:hAnsi="Arial" w:cs="Arial"/>
          <w:sz w:val="20"/>
          <w:szCs w:val="20"/>
        </w:rPr>
        <w:t>Podcilj 2c: severozahodna Slovenija</w:t>
      </w:r>
    </w:p>
    <w:p w:rsidR="00D91D1F" w:rsidRPr="00E564A6" w:rsidRDefault="00D91D1F" w:rsidP="00963EDA">
      <w:pPr>
        <w:numPr>
          <w:ilvl w:val="1"/>
          <w:numId w:val="11"/>
        </w:numPr>
        <w:ind w:left="993"/>
        <w:rPr>
          <w:rFonts w:ascii="Arial" w:hAnsi="Arial" w:cs="Arial"/>
          <w:sz w:val="20"/>
          <w:szCs w:val="20"/>
        </w:rPr>
      </w:pPr>
      <w:r w:rsidRPr="00E564A6">
        <w:rPr>
          <w:rFonts w:ascii="Arial" w:hAnsi="Arial" w:cs="Arial"/>
          <w:sz w:val="20"/>
          <w:szCs w:val="20"/>
        </w:rPr>
        <w:t>Podcilj 2d: Goriška</w:t>
      </w:r>
    </w:p>
    <w:p w:rsidR="00D91D1F" w:rsidRPr="00E564A6" w:rsidRDefault="00D91D1F" w:rsidP="00963EDA">
      <w:pPr>
        <w:numPr>
          <w:ilvl w:val="1"/>
          <w:numId w:val="11"/>
        </w:numPr>
        <w:ind w:left="993"/>
        <w:rPr>
          <w:rFonts w:ascii="Arial" w:hAnsi="Arial" w:cs="Arial"/>
          <w:sz w:val="20"/>
          <w:szCs w:val="20"/>
        </w:rPr>
      </w:pPr>
      <w:r w:rsidRPr="00E564A6">
        <w:rPr>
          <w:rFonts w:ascii="Arial" w:hAnsi="Arial" w:cs="Arial"/>
          <w:sz w:val="20"/>
          <w:szCs w:val="20"/>
        </w:rPr>
        <w:t>Podcilj 2e: Koroška</w:t>
      </w:r>
    </w:p>
    <w:p w:rsidR="00D91D1F" w:rsidRPr="00E564A6" w:rsidRDefault="00D91D1F" w:rsidP="00963EDA">
      <w:pPr>
        <w:numPr>
          <w:ilvl w:val="1"/>
          <w:numId w:val="11"/>
        </w:numPr>
        <w:ind w:left="993"/>
        <w:rPr>
          <w:rFonts w:ascii="Arial" w:hAnsi="Arial" w:cs="Arial"/>
          <w:sz w:val="20"/>
          <w:szCs w:val="20"/>
        </w:rPr>
      </w:pPr>
      <w:r w:rsidRPr="00E564A6">
        <w:rPr>
          <w:rFonts w:ascii="Arial" w:hAnsi="Arial" w:cs="Arial"/>
          <w:sz w:val="20"/>
          <w:szCs w:val="20"/>
        </w:rPr>
        <w:t>Podcilj 2f: Primorska</w:t>
      </w:r>
    </w:p>
    <w:p w:rsidR="00D91D1F" w:rsidRPr="00E564A6" w:rsidRDefault="00D91D1F" w:rsidP="00963EDA">
      <w:pPr>
        <w:numPr>
          <w:ilvl w:val="1"/>
          <w:numId w:val="11"/>
        </w:numPr>
        <w:ind w:left="993"/>
        <w:rPr>
          <w:rFonts w:ascii="Arial" w:hAnsi="Arial" w:cs="Arial"/>
          <w:sz w:val="20"/>
          <w:szCs w:val="20"/>
        </w:rPr>
      </w:pPr>
      <w:r w:rsidRPr="00E564A6">
        <w:rPr>
          <w:rFonts w:ascii="Arial" w:hAnsi="Arial" w:cs="Arial"/>
          <w:sz w:val="20"/>
          <w:szCs w:val="20"/>
        </w:rPr>
        <w:t>Podcilj 2g: osrednjeslovenska regija</w:t>
      </w:r>
    </w:p>
    <w:p w:rsidR="00D91D1F" w:rsidRPr="00E564A6" w:rsidRDefault="00D91D1F" w:rsidP="00963EDA">
      <w:pPr>
        <w:numPr>
          <w:ilvl w:val="1"/>
          <w:numId w:val="11"/>
        </w:numPr>
        <w:ind w:left="993"/>
        <w:rPr>
          <w:rFonts w:ascii="Arial" w:hAnsi="Arial" w:cs="Arial"/>
          <w:sz w:val="20"/>
          <w:szCs w:val="20"/>
        </w:rPr>
      </w:pPr>
      <w:r w:rsidRPr="00E564A6">
        <w:rPr>
          <w:rFonts w:ascii="Arial" w:hAnsi="Arial" w:cs="Arial"/>
          <w:sz w:val="20"/>
          <w:szCs w:val="20"/>
        </w:rPr>
        <w:t>Podcilj 2h: dostopnost znotraj regij (do regionalnih središč)</w:t>
      </w:r>
    </w:p>
    <w:p w:rsidR="00D91D1F" w:rsidRPr="00E564A6" w:rsidRDefault="00D91D1F" w:rsidP="00D91D1F">
      <w:pPr>
        <w:ind w:left="1440"/>
        <w:jc w:val="both"/>
        <w:rPr>
          <w:rFonts w:ascii="Arial" w:hAnsi="Arial" w:cs="Arial"/>
          <w:sz w:val="20"/>
          <w:szCs w:val="20"/>
        </w:rPr>
      </w:pPr>
    </w:p>
    <w:p w:rsidR="00D91D1F" w:rsidRPr="00E564A6" w:rsidRDefault="00D91D1F" w:rsidP="00C1387F">
      <w:pPr>
        <w:numPr>
          <w:ilvl w:val="0"/>
          <w:numId w:val="11"/>
        </w:numPr>
        <w:ind w:left="709" w:hanging="349"/>
        <w:jc w:val="both"/>
        <w:rPr>
          <w:rFonts w:ascii="Arial" w:hAnsi="Arial" w:cs="Arial"/>
          <w:sz w:val="20"/>
          <w:szCs w:val="20"/>
        </w:rPr>
      </w:pPr>
      <w:r w:rsidRPr="00E564A6">
        <w:rPr>
          <w:rFonts w:ascii="Arial" w:hAnsi="Arial" w:cs="Arial"/>
          <w:b/>
          <w:sz w:val="20"/>
          <w:szCs w:val="20"/>
        </w:rPr>
        <w:t>Posebni cilj št. 3</w:t>
      </w:r>
      <w:r w:rsidRPr="00E564A6">
        <w:rPr>
          <w:rFonts w:ascii="Arial" w:hAnsi="Arial" w:cs="Arial"/>
          <w:sz w:val="20"/>
          <w:szCs w:val="20"/>
        </w:rPr>
        <w:t>: izboljšanje dostopnosti potnikov do glavnih mestnih aglomeracij in znotraj njih</w:t>
      </w:r>
    </w:p>
    <w:p w:rsidR="00D91D1F" w:rsidRPr="00E564A6" w:rsidRDefault="00D91D1F" w:rsidP="00963EDA">
      <w:pPr>
        <w:numPr>
          <w:ilvl w:val="1"/>
          <w:numId w:val="11"/>
        </w:numPr>
        <w:ind w:left="993"/>
        <w:rPr>
          <w:rFonts w:ascii="Arial" w:hAnsi="Arial" w:cs="Arial"/>
          <w:sz w:val="20"/>
          <w:szCs w:val="20"/>
        </w:rPr>
      </w:pPr>
      <w:r w:rsidRPr="00E564A6">
        <w:rPr>
          <w:rFonts w:ascii="Arial" w:hAnsi="Arial" w:cs="Arial"/>
          <w:sz w:val="20"/>
          <w:szCs w:val="20"/>
        </w:rPr>
        <w:t>Podcilj 3a: Ljubljana</w:t>
      </w:r>
    </w:p>
    <w:p w:rsidR="00D91D1F" w:rsidRPr="00E564A6" w:rsidRDefault="00D91D1F" w:rsidP="00963EDA">
      <w:pPr>
        <w:numPr>
          <w:ilvl w:val="1"/>
          <w:numId w:val="11"/>
        </w:numPr>
        <w:ind w:left="993"/>
        <w:rPr>
          <w:rFonts w:ascii="Arial" w:hAnsi="Arial" w:cs="Arial"/>
          <w:sz w:val="20"/>
          <w:szCs w:val="20"/>
        </w:rPr>
      </w:pPr>
      <w:r w:rsidRPr="00E564A6">
        <w:rPr>
          <w:rFonts w:ascii="Arial" w:hAnsi="Arial" w:cs="Arial"/>
          <w:sz w:val="20"/>
          <w:szCs w:val="20"/>
        </w:rPr>
        <w:t>Podcilj 3b: Maribor</w:t>
      </w:r>
    </w:p>
    <w:p w:rsidR="00D91D1F" w:rsidRPr="00E564A6" w:rsidRDefault="00D91D1F" w:rsidP="00963EDA">
      <w:pPr>
        <w:numPr>
          <w:ilvl w:val="1"/>
          <w:numId w:val="11"/>
        </w:numPr>
        <w:ind w:left="993"/>
        <w:rPr>
          <w:rFonts w:ascii="Arial" w:hAnsi="Arial" w:cs="Arial"/>
          <w:sz w:val="20"/>
          <w:szCs w:val="20"/>
        </w:rPr>
      </w:pPr>
      <w:r w:rsidRPr="00E564A6">
        <w:rPr>
          <w:rFonts w:ascii="Arial" w:hAnsi="Arial" w:cs="Arial"/>
          <w:sz w:val="20"/>
          <w:szCs w:val="20"/>
        </w:rPr>
        <w:t>Podcilj 3c: Koper</w:t>
      </w:r>
    </w:p>
    <w:p w:rsidR="00D91D1F" w:rsidRPr="00E564A6" w:rsidRDefault="00D91D1F" w:rsidP="00D91D1F">
      <w:pPr>
        <w:ind w:left="1440"/>
        <w:jc w:val="both"/>
        <w:rPr>
          <w:rFonts w:ascii="Arial" w:hAnsi="Arial" w:cs="Arial"/>
          <w:sz w:val="20"/>
          <w:szCs w:val="20"/>
        </w:rPr>
      </w:pPr>
    </w:p>
    <w:p w:rsidR="00D91D1F" w:rsidRPr="00E564A6" w:rsidRDefault="00D91D1F" w:rsidP="00C1387F">
      <w:pPr>
        <w:numPr>
          <w:ilvl w:val="0"/>
          <w:numId w:val="11"/>
        </w:numPr>
        <w:ind w:left="709" w:hanging="349"/>
        <w:jc w:val="both"/>
        <w:rPr>
          <w:rFonts w:ascii="Arial" w:hAnsi="Arial" w:cs="Arial"/>
          <w:sz w:val="20"/>
          <w:szCs w:val="20"/>
        </w:rPr>
      </w:pPr>
      <w:r w:rsidRPr="00E564A6">
        <w:rPr>
          <w:rFonts w:ascii="Arial" w:hAnsi="Arial" w:cs="Arial"/>
          <w:b/>
          <w:sz w:val="20"/>
          <w:szCs w:val="20"/>
        </w:rPr>
        <w:t>Posebni cilj št. 4</w:t>
      </w:r>
      <w:r w:rsidRPr="00E564A6">
        <w:rPr>
          <w:rFonts w:ascii="Arial" w:hAnsi="Arial" w:cs="Arial"/>
          <w:sz w:val="20"/>
          <w:szCs w:val="20"/>
        </w:rPr>
        <w:t>: izboljšanje organizacijske in operativne sestave prometnega sistema za zagotovitev njegove učinkovitosti in trajnosti</w:t>
      </w:r>
    </w:p>
    <w:p w:rsidR="00D91D1F" w:rsidRPr="00E564A6" w:rsidRDefault="00D91D1F" w:rsidP="00963EDA">
      <w:pPr>
        <w:numPr>
          <w:ilvl w:val="1"/>
          <w:numId w:val="11"/>
        </w:numPr>
        <w:ind w:left="993"/>
        <w:rPr>
          <w:rFonts w:ascii="Arial" w:hAnsi="Arial" w:cs="Arial"/>
          <w:sz w:val="20"/>
          <w:szCs w:val="20"/>
        </w:rPr>
      </w:pPr>
      <w:r w:rsidRPr="00E564A6">
        <w:rPr>
          <w:rFonts w:ascii="Arial" w:hAnsi="Arial" w:cs="Arial"/>
          <w:sz w:val="20"/>
          <w:szCs w:val="20"/>
        </w:rPr>
        <w:t>Podcilj 4a: prilagoditev zakonodaje, pravil in standardov evropskim zahtevam in najboljša praksa</w:t>
      </w:r>
    </w:p>
    <w:p w:rsidR="00D91D1F" w:rsidRPr="00E564A6" w:rsidRDefault="00D91D1F" w:rsidP="00963EDA">
      <w:pPr>
        <w:numPr>
          <w:ilvl w:val="1"/>
          <w:numId w:val="11"/>
        </w:numPr>
        <w:ind w:left="993"/>
        <w:rPr>
          <w:rFonts w:ascii="Arial" w:hAnsi="Arial" w:cs="Arial"/>
          <w:sz w:val="20"/>
          <w:szCs w:val="20"/>
        </w:rPr>
      </w:pPr>
      <w:r w:rsidRPr="00E564A6">
        <w:rPr>
          <w:rFonts w:ascii="Arial" w:hAnsi="Arial" w:cs="Arial"/>
          <w:sz w:val="20"/>
          <w:szCs w:val="20"/>
        </w:rPr>
        <w:lastRenderedPageBreak/>
        <w:t>Podcilj 4b: izboljšanje organizacijske sestave sistema in sodelovanje med ustreznimi deležniki</w:t>
      </w:r>
    </w:p>
    <w:p w:rsidR="00D91D1F" w:rsidRPr="00E564A6" w:rsidRDefault="00D91D1F" w:rsidP="00963EDA">
      <w:pPr>
        <w:numPr>
          <w:ilvl w:val="1"/>
          <w:numId w:val="11"/>
        </w:numPr>
        <w:ind w:left="993"/>
        <w:rPr>
          <w:rFonts w:ascii="Arial" w:hAnsi="Arial" w:cs="Arial"/>
          <w:sz w:val="20"/>
          <w:szCs w:val="20"/>
        </w:rPr>
      </w:pPr>
      <w:r w:rsidRPr="00E564A6">
        <w:rPr>
          <w:rFonts w:ascii="Arial" w:hAnsi="Arial" w:cs="Arial"/>
          <w:sz w:val="20"/>
          <w:szCs w:val="20"/>
        </w:rPr>
        <w:t>Podcilj 4c: izboljšanje operativne sestave sistema</w:t>
      </w:r>
    </w:p>
    <w:p w:rsidR="00D91D1F" w:rsidRPr="00E564A6" w:rsidRDefault="00D91D1F" w:rsidP="00963EDA">
      <w:pPr>
        <w:numPr>
          <w:ilvl w:val="1"/>
          <w:numId w:val="11"/>
        </w:numPr>
        <w:ind w:left="993"/>
        <w:rPr>
          <w:rFonts w:ascii="Arial" w:hAnsi="Arial" w:cs="Arial"/>
          <w:sz w:val="20"/>
          <w:szCs w:val="20"/>
        </w:rPr>
      </w:pPr>
      <w:r w:rsidRPr="00E564A6">
        <w:rPr>
          <w:rFonts w:ascii="Arial" w:hAnsi="Arial" w:cs="Arial"/>
          <w:sz w:val="20"/>
          <w:szCs w:val="20"/>
        </w:rPr>
        <w:t>Podcilj 4d: izboljšanje varnosti prometnega sistema</w:t>
      </w:r>
    </w:p>
    <w:p w:rsidR="00D91D1F" w:rsidRPr="00E564A6" w:rsidRDefault="00D91D1F" w:rsidP="00963EDA">
      <w:pPr>
        <w:numPr>
          <w:ilvl w:val="1"/>
          <w:numId w:val="11"/>
        </w:numPr>
        <w:ind w:left="993"/>
        <w:rPr>
          <w:rFonts w:ascii="Arial" w:hAnsi="Arial" w:cs="Arial"/>
          <w:sz w:val="20"/>
          <w:szCs w:val="20"/>
        </w:rPr>
      </w:pPr>
      <w:r w:rsidRPr="00E564A6">
        <w:rPr>
          <w:rFonts w:ascii="Arial" w:hAnsi="Arial" w:cs="Arial"/>
          <w:sz w:val="20"/>
          <w:szCs w:val="20"/>
        </w:rPr>
        <w:t>Podcilj 4e: zmanjševanje/ublažitev vplivov na okolje</w:t>
      </w:r>
    </w:p>
    <w:p w:rsidR="00D91D1F" w:rsidRPr="00E564A6" w:rsidRDefault="00D91D1F" w:rsidP="00963EDA">
      <w:pPr>
        <w:numPr>
          <w:ilvl w:val="1"/>
          <w:numId w:val="11"/>
        </w:numPr>
        <w:ind w:left="993"/>
        <w:rPr>
          <w:rFonts w:ascii="Arial" w:hAnsi="Arial" w:cs="Arial"/>
          <w:sz w:val="20"/>
          <w:szCs w:val="20"/>
        </w:rPr>
      </w:pPr>
      <w:r w:rsidRPr="00E564A6">
        <w:rPr>
          <w:rFonts w:ascii="Arial" w:hAnsi="Arial" w:cs="Arial"/>
          <w:sz w:val="20"/>
          <w:szCs w:val="20"/>
        </w:rPr>
        <w:t>Podcilj 4f: izboljšanje energetske učinkovitosti</w:t>
      </w:r>
    </w:p>
    <w:p w:rsidR="00D91D1F" w:rsidRPr="00E564A6" w:rsidRDefault="00D91D1F" w:rsidP="00963EDA">
      <w:pPr>
        <w:numPr>
          <w:ilvl w:val="1"/>
          <w:numId w:val="11"/>
        </w:numPr>
        <w:ind w:left="993"/>
        <w:rPr>
          <w:rFonts w:ascii="Arial" w:hAnsi="Arial" w:cs="Arial"/>
          <w:sz w:val="20"/>
          <w:szCs w:val="20"/>
        </w:rPr>
      </w:pPr>
      <w:r w:rsidRPr="00E564A6">
        <w:rPr>
          <w:rFonts w:ascii="Arial" w:hAnsi="Arial" w:cs="Arial"/>
          <w:sz w:val="20"/>
          <w:szCs w:val="20"/>
        </w:rPr>
        <w:t>Podcilj 4g: finančna vzdržnost prometnega sistema</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Ključne usmeritve za pripravo Nacionalnega programa so rezultati strokovnih analiz (prometnih, funkcionalnih, okoljskih in socialnih ter ostalih), ki so bile izdelane v okviru procesa priprave Strategije. Njena strateška določila v največji meri temeljijo na posebnem analitičnem instrumentu t.i. nacionalnem prometnem modelu, ki upošteva sedanjo in prihodnjo ponudbo prometnih omrežij (prepustnost, dostopnost) in sedanje ter pričakovano prihodnje prometno povpraševanje (socio-ekonomski podatki). Nacionalni prometni model so eksperti Evropske komisije ocenili kot zelo kvaliteten in referenčen tudi za druge države članice EU, ki pripravljajo lastne strateške dokumente na področju razvoja prometnih sistemov.</w:t>
      </w:r>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Z nacionalnim prometnim modelom so bile poleg aktualnih glavnih težav ugotovljene tudi težave, do katerih bi prišlo v prihodnje, če bi ohranili sedanjo prometno ureditev, upoštevaje, da bi obstoječo prometno infrastrukturo samo vzdrževali in dokončali obstoječe investicije, in sicer:</w:t>
      </w:r>
    </w:p>
    <w:p w:rsidR="00D91D1F" w:rsidRPr="00E564A6" w:rsidRDefault="00D91D1F" w:rsidP="00963EDA">
      <w:pPr>
        <w:numPr>
          <w:ilvl w:val="0"/>
          <w:numId w:val="11"/>
        </w:numPr>
        <w:ind w:left="426" w:hanging="349"/>
        <w:jc w:val="both"/>
        <w:rPr>
          <w:rFonts w:ascii="Arial" w:hAnsi="Arial" w:cs="Arial"/>
          <w:sz w:val="20"/>
          <w:szCs w:val="20"/>
        </w:rPr>
      </w:pPr>
      <w:r w:rsidRPr="00E564A6">
        <w:rPr>
          <w:rFonts w:ascii="Arial" w:hAnsi="Arial" w:cs="Arial"/>
          <w:sz w:val="20"/>
          <w:szCs w:val="20"/>
        </w:rPr>
        <w:t xml:space="preserve">izbira prometnega sredstva potniškega prometa se ne bi spontano spremenila v smeri krepitve vloge javnega prometa, temveč bi ostala nespremenjena, izbira prometnega sredstva blagovnega prometa bi se spremenila v korist cestnega tovornega prometa in ne obratno, </w:t>
      </w:r>
    </w:p>
    <w:p w:rsidR="00D91D1F" w:rsidRPr="00E564A6" w:rsidRDefault="00D91D1F" w:rsidP="00963EDA">
      <w:pPr>
        <w:numPr>
          <w:ilvl w:val="0"/>
          <w:numId w:val="11"/>
        </w:numPr>
        <w:ind w:left="426" w:hanging="349"/>
        <w:jc w:val="both"/>
        <w:rPr>
          <w:rFonts w:ascii="Arial" w:hAnsi="Arial" w:cs="Arial"/>
          <w:sz w:val="20"/>
          <w:szCs w:val="20"/>
        </w:rPr>
      </w:pPr>
      <w:r w:rsidRPr="00E564A6">
        <w:rPr>
          <w:rFonts w:ascii="Arial" w:hAnsi="Arial" w:cs="Arial"/>
          <w:sz w:val="20"/>
          <w:szCs w:val="20"/>
        </w:rPr>
        <w:t xml:space="preserve">skoraj celotno železniško TEN-T omrežje brez dodatnih vlaganj ne bi zagotavljalo ne potrebne prepustne zmogljivosti in sprejemljive udobnosti potnikov ne minimalnih TEN-T standardov, </w:t>
      </w:r>
    </w:p>
    <w:p w:rsidR="00D91D1F" w:rsidRPr="00E564A6" w:rsidRDefault="00D91D1F" w:rsidP="00963EDA">
      <w:pPr>
        <w:numPr>
          <w:ilvl w:val="0"/>
          <w:numId w:val="11"/>
        </w:numPr>
        <w:ind w:left="426" w:hanging="349"/>
        <w:jc w:val="both"/>
        <w:rPr>
          <w:rFonts w:ascii="Arial" w:hAnsi="Arial" w:cs="Arial"/>
          <w:sz w:val="20"/>
          <w:szCs w:val="20"/>
        </w:rPr>
      </w:pPr>
      <w:r w:rsidRPr="00E564A6">
        <w:rPr>
          <w:rFonts w:ascii="Arial" w:hAnsi="Arial" w:cs="Arial"/>
          <w:sz w:val="20"/>
          <w:szCs w:val="20"/>
        </w:rPr>
        <w:t xml:space="preserve">kljub uveljavitvi trajnostne prometne politike bi na pomembnem delu slovenskega cestnega omrežja prišlo do prekoračitev prepustnosti, zastojev in ozkih grl, še posebej izrazito na ljubljanskem avtocestnem obroču in njegovih priključnih avtocestnih krakih, </w:t>
      </w:r>
    </w:p>
    <w:p w:rsidR="00D91D1F" w:rsidRPr="00E564A6" w:rsidRDefault="00D91D1F" w:rsidP="00963EDA">
      <w:pPr>
        <w:numPr>
          <w:ilvl w:val="0"/>
          <w:numId w:val="11"/>
        </w:numPr>
        <w:ind w:left="426" w:hanging="349"/>
        <w:jc w:val="both"/>
        <w:rPr>
          <w:rFonts w:ascii="Arial" w:hAnsi="Arial" w:cs="Arial"/>
          <w:sz w:val="20"/>
          <w:szCs w:val="20"/>
        </w:rPr>
      </w:pPr>
      <w:r w:rsidRPr="00E564A6">
        <w:rPr>
          <w:rFonts w:ascii="Arial" w:hAnsi="Arial" w:cs="Arial"/>
          <w:sz w:val="20"/>
          <w:szCs w:val="20"/>
        </w:rPr>
        <w:t xml:space="preserve">parkirišča za tovornjake ob avtocestnem sistemu že sedaj predstavljajo ozka grla, ki se bodo v prihodnje ob nespremenjenem stanju še zaostrila, </w:t>
      </w:r>
    </w:p>
    <w:p w:rsidR="00D91D1F" w:rsidRPr="00E564A6" w:rsidRDefault="00D91D1F" w:rsidP="00963EDA">
      <w:pPr>
        <w:numPr>
          <w:ilvl w:val="0"/>
          <w:numId w:val="11"/>
        </w:numPr>
        <w:ind w:left="426" w:hanging="349"/>
        <w:jc w:val="both"/>
        <w:rPr>
          <w:rFonts w:ascii="Arial" w:hAnsi="Arial" w:cs="Arial"/>
          <w:sz w:val="20"/>
          <w:szCs w:val="20"/>
        </w:rPr>
      </w:pPr>
      <w:r w:rsidRPr="00E564A6">
        <w:rPr>
          <w:rFonts w:ascii="Arial" w:hAnsi="Arial" w:cs="Arial"/>
          <w:sz w:val="20"/>
          <w:szCs w:val="20"/>
        </w:rPr>
        <w:t xml:space="preserve">sedanji javni promet ni konkurenčen osebnemu avtomobilu in njegova konkurenčnost se še slabša, </w:t>
      </w:r>
    </w:p>
    <w:p w:rsidR="00D91D1F" w:rsidRPr="00E564A6" w:rsidRDefault="00D91D1F" w:rsidP="00963EDA">
      <w:pPr>
        <w:numPr>
          <w:ilvl w:val="0"/>
          <w:numId w:val="11"/>
        </w:numPr>
        <w:ind w:left="426" w:hanging="349"/>
        <w:jc w:val="both"/>
        <w:rPr>
          <w:rFonts w:ascii="Arial" w:hAnsi="Arial" w:cs="Arial"/>
          <w:sz w:val="20"/>
          <w:szCs w:val="20"/>
        </w:rPr>
      </w:pPr>
      <w:r w:rsidRPr="00E564A6">
        <w:rPr>
          <w:rFonts w:ascii="Arial" w:hAnsi="Arial" w:cs="Arial"/>
          <w:sz w:val="20"/>
          <w:szCs w:val="20"/>
        </w:rPr>
        <w:t xml:space="preserve">za kolesarski promet ne obstajajo niti celoviti (državni, regionalni) niti podrobni (občinski) načrti njegove ureditve; posledično sistem kolesarskih poti ni dograjen in funkcionalno logično sklenjen, zaradi česar je manj razvit in ni v funkciji javnega potniškega prometa oz. ne omogoča zadostnega razvoja kolesarjenja za dnevne migracije, </w:t>
      </w:r>
    </w:p>
    <w:p w:rsidR="00D91D1F" w:rsidRPr="00E564A6" w:rsidRDefault="00D91D1F" w:rsidP="00963EDA">
      <w:pPr>
        <w:numPr>
          <w:ilvl w:val="0"/>
          <w:numId w:val="11"/>
        </w:numPr>
        <w:ind w:left="426" w:hanging="349"/>
        <w:jc w:val="both"/>
        <w:rPr>
          <w:rFonts w:ascii="Arial" w:hAnsi="Arial" w:cs="Arial"/>
          <w:sz w:val="20"/>
          <w:szCs w:val="20"/>
        </w:rPr>
      </w:pPr>
      <w:r w:rsidRPr="00E564A6">
        <w:rPr>
          <w:rFonts w:ascii="Arial" w:hAnsi="Arial" w:cs="Arial"/>
          <w:sz w:val="20"/>
          <w:szCs w:val="20"/>
        </w:rPr>
        <w:t xml:space="preserve">hitrejši razvoj pristanišča Koper omejujejo neustrezne dimenzije vplovnih kanalov in pomolov, neustrezna pristaniška infrastruktura ter ozka grla slovenskega železniškega omrežja, </w:t>
      </w:r>
    </w:p>
    <w:p w:rsidR="00D91D1F" w:rsidRPr="00E564A6" w:rsidRDefault="00D91D1F" w:rsidP="00963EDA">
      <w:pPr>
        <w:numPr>
          <w:ilvl w:val="0"/>
          <w:numId w:val="11"/>
        </w:numPr>
        <w:ind w:left="426" w:hanging="349"/>
        <w:jc w:val="both"/>
        <w:rPr>
          <w:rFonts w:ascii="Arial" w:hAnsi="Arial" w:cs="Arial"/>
          <w:sz w:val="20"/>
          <w:szCs w:val="20"/>
        </w:rPr>
      </w:pPr>
      <w:r w:rsidRPr="00E564A6">
        <w:rPr>
          <w:rFonts w:ascii="Arial" w:hAnsi="Arial" w:cs="Arial"/>
          <w:sz w:val="20"/>
          <w:szCs w:val="20"/>
        </w:rPr>
        <w:t xml:space="preserve">glavno težavo letališča Jožeta Pučnika Ljubljana predstavljata neustrezna potniški in tovorni terminal in neustrezne hangarske kapacitete, </w:t>
      </w:r>
    </w:p>
    <w:p w:rsidR="00D91D1F" w:rsidRPr="00E564A6" w:rsidRDefault="00D91D1F" w:rsidP="00963EDA">
      <w:pPr>
        <w:numPr>
          <w:ilvl w:val="0"/>
          <w:numId w:val="11"/>
        </w:numPr>
        <w:ind w:left="426" w:hanging="349"/>
        <w:jc w:val="both"/>
        <w:rPr>
          <w:rFonts w:ascii="Arial" w:hAnsi="Arial" w:cs="Arial"/>
          <w:sz w:val="20"/>
          <w:szCs w:val="20"/>
        </w:rPr>
      </w:pPr>
      <w:r w:rsidRPr="00E564A6">
        <w:rPr>
          <w:rFonts w:ascii="Arial" w:hAnsi="Arial" w:cs="Arial"/>
          <w:sz w:val="20"/>
          <w:szCs w:val="20"/>
        </w:rPr>
        <w:t xml:space="preserve">emisija toplogrednih plinov bi se v prihodnje še povečala in ne zmanjšala, </w:t>
      </w:r>
    </w:p>
    <w:p w:rsidR="00D91D1F" w:rsidRPr="00E564A6" w:rsidRDefault="00D91D1F" w:rsidP="00963EDA">
      <w:pPr>
        <w:numPr>
          <w:ilvl w:val="0"/>
          <w:numId w:val="11"/>
        </w:numPr>
        <w:ind w:left="426" w:hanging="349"/>
        <w:jc w:val="both"/>
        <w:rPr>
          <w:rFonts w:ascii="Arial" w:hAnsi="Arial" w:cs="Arial"/>
          <w:sz w:val="20"/>
          <w:szCs w:val="20"/>
        </w:rPr>
      </w:pPr>
      <w:r w:rsidRPr="00E564A6">
        <w:rPr>
          <w:rFonts w:ascii="Arial" w:hAnsi="Arial" w:cs="Arial"/>
          <w:sz w:val="20"/>
          <w:szCs w:val="20"/>
        </w:rPr>
        <w:t xml:space="preserve">prizadetost s čezmernim hrupom je že sedaj velika in bi se v prihodnje še povečala, </w:t>
      </w:r>
    </w:p>
    <w:p w:rsidR="00D91D1F" w:rsidRPr="00E564A6" w:rsidRDefault="00D91D1F" w:rsidP="00963EDA">
      <w:pPr>
        <w:numPr>
          <w:ilvl w:val="0"/>
          <w:numId w:val="11"/>
        </w:numPr>
        <w:ind w:left="426" w:hanging="349"/>
        <w:jc w:val="both"/>
        <w:rPr>
          <w:rFonts w:ascii="Arial" w:hAnsi="Arial" w:cs="Arial"/>
          <w:sz w:val="20"/>
          <w:szCs w:val="20"/>
        </w:rPr>
      </w:pPr>
      <w:r w:rsidRPr="00E564A6">
        <w:rPr>
          <w:rFonts w:ascii="Arial" w:hAnsi="Arial" w:cs="Arial"/>
          <w:sz w:val="20"/>
          <w:szCs w:val="20"/>
        </w:rPr>
        <w:t xml:space="preserve">dostopnost od nekaterih območij do regionalnih središč je nesprejemljivo slaba, tako z osebnim avtomobilom kot z javnim prometom, </w:t>
      </w:r>
    </w:p>
    <w:p w:rsidR="00D91D1F" w:rsidRPr="00963EDA" w:rsidRDefault="00D91D1F" w:rsidP="00D91D1F">
      <w:pPr>
        <w:numPr>
          <w:ilvl w:val="0"/>
          <w:numId w:val="11"/>
        </w:numPr>
        <w:ind w:left="426" w:hanging="349"/>
        <w:jc w:val="both"/>
        <w:rPr>
          <w:rFonts w:ascii="Arial" w:hAnsi="Arial" w:cs="Arial"/>
          <w:sz w:val="20"/>
          <w:szCs w:val="20"/>
        </w:rPr>
      </w:pPr>
      <w:r w:rsidRPr="00E564A6">
        <w:rPr>
          <w:rFonts w:ascii="Arial" w:hAnsi="Arial" w:cs="Arial"/>
          <w:sz w:val="20"/>
          <w:szCs w:val="20"/>
        </w:rPr>
        <w:t>na cestnem omrežju je veliko število nevarnih mest in zgolj pasivno zavarovalnih nivojskih križanj cest in železnic, kar prispeva k večjemu številu prometnih nesreč.</w:t>
      </w:r>
    </w:p>
    <w:p w:rsidR="009047E1" w:rsidRDefault="009047E1"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V Strategiji so bili tako oblikovani ukrepi, ki bi odpravili obstoječe ozirom</w:t>
      </w:r>
      <w:r w:rsidR="00E564A6">
        <w:rPr>
          <w:rFonts w:ascii="Arial" w:hAnsi="Arial" w:cs="Arial"/>
          <w:sz w:val="20"/>
          <w:szCs w:val="20"/>
        </w:rPr>
        <w:t xml:space="preserve">a preprečili pričakovane težave. </w:t>
      </w:r>
      <w:r w:rsidRPr="00E564A6">
        <w:rPr>
          <w:rFonts w:ascii="Arial" w:hAnsi="Arial" w:cs="Arial"/>
          <w:sz w:val="20"/>
          <w:szCs w:val="20"/>
          <w:lang w:eastAsia="sl-SI"/>
        </w:rPr>
        <w:t>Skupaj je v Strategiji predvideno 108 ukrepov, ki se ne nanašajo samo na področje fizične prometne infrastrukture, temveč tudi na organiziranost sektorja, vodenje prometa, prometno varnost, vozni park ipd.</w:t>
      </w:r>
    </w:p>
    <w:p w:rsidR="00D91D1F" w:rsidRDefault="00D91D1F" w:rsidP="00D91D1F">
      <w:pPr>
        <w:jc w:val="both"/>
        <w:rPr>
          <w:rFonts w:ascii="Arial" w:hAnsi="Arial" w:cs="Arial"/>
          <w:sz w:val="20"/>
          <w:szCs w:val="20"/>
          <w:lang w:eastAsia="sl-SI"/>
        </w:rPr>
      </w:pPr>
    </w:p>
    <w:p w:rsidR="009047E1" w:rsidRDefault="009047E1" w:rsidP="00D91D1F">
      <w:pPr>
        <w:jc w:val="both"/>
        <w:rPr>
          <w:rFonts w:ascii="Arial" w:hAnsi="Arial" w:cs="Arial"/>
          <w:sz w:val="20"/>
          <w:szCs w:val="20"/>
          <w:lang w:eastAsia="sl-SI"/>
        </w:rPr>
      </w:pPr>
    </w:p>
    <w:p w:rsidR="009047E1" w:rsidRDefault="009047E1" w:rsidP="00D91D1F">
      <w:pPr>
        <w:jc w:val="both"/>
        <w:rPr>
          <w:rFonts w:ascii="Arial" w:hAnsi="Arial" w:cs="Arial"/>
          <w:sz w:val="20"/>
          <w:szCs w:val="20"/>
          <w:lang w:eastAsia="sl-SI"/>
        </w:rPr>
      </w:pPr>
    </w:p>
    <w:p w:rsidR="009047E1" w:rsidRDefault="009047E1" w:rsidP="00D91D1F">
      <w:pPr>
        <w:jc w:val="both"/>
        <w:rPr>
          <w:rFonts w:ascii="Arial" w:hAnsi="Arial" w:cs="Arial"/>
          <w:sz w:val="20"/>
          <w:szCs w:val="20"/>
          <w:lang w:eastAsia="sl-SI"/>
        </w:rPr>
      </w:pPr>
    </w:p>
    <w:p w:rsidR="009047E1" w:rsidRDefault="009047E1" w:rsidP="00D91D1F">
      <w:pPr>
        <w:jc w:val="both"/>
        <w:rPr>
          <w:rFonts w:ascii="Arial" w:hAnsi="Arial" w:cs="Arial"/>
          <w:sz w:val="20"/>
          <w:szCs w:val="20"/>
          <w:lang w:eastAsia="sl-SI"/>
        </w:rPr>
      </w:pPr>
    </w:p>
    <w:p w:rsidR="009047E1" w:rsidRDefault="009047E1" w:rsidP="00D91D1F">
      <w:pPr>
        <w:jc w:val="both"/>
        <w:rPr>
          <w:rFonts w:ascii="Arial" w:hAnsi="Arial" w:cs="Arial"/>
          <w:sz w:val="20"/>
          <w:szCs w:val="20"/>
          <w:lang w:eastAsia="sl-SI"/>
        </w:rPr>
      </w:pPr>
    </w:p>
    <w:p w:rsidR="009047E1" w:rsidRPr="00E564A6" w:rsidRDefault="009047E1" w:rsidP="00D91D1F">
      <w:pPr>
        <w:jc w:val="both"/>
        <w:rPr>
          <w:rFonts w:ascii="Arial" w:hAnsi="Arial" w:cs="Arial"/>
          <w:sz w:val="20"/>
          <w:szCs w:val="20"/>
          <w:lang w:eastAsia="sl-SI"/>
        </w:rPr>
      </w:pPr>
    </w:p>
    <w:p w:rsidR="00D91D1F" w:rsidRPr="00E564A6" w:rsidRDefault="00D91D1F" w:rsidP="00D91D1F">
      <w:pPr>
        <w:pStyle w:val="Napis"/>
        <w:keepNext/>
        <w:jc w:val="both"/>
        <w:rPr>
          <w:rFonts w:ascii="Arial" w:hAnsi="Arial" w:cs="Arial"/>
          <w:b w:val="0"/>
          <w:lang w:eastAsia="sl-SI"/>
        </w:rPr>
      </w:pPr>
      <w:r w:rsidRPr="00E564A6">
        <w:rPr>
          <w:rFonts w:ascii="Arial" w:hAnsi="Arial" w:cs="Arial"/>
          <w:b w:val="0"/>
        </w:rPr>
        <w:lastRenderedPageBreak/>
        <w:t>Tabela 4</w:t>
      </w:r>
      <w:r w:rsidRPr="00E564A6">
        <w:rPr>
          <w:rFonts w:ascii="Arial" w:hAnsi="Arial" w:cs="Arial"/>
          <w:b w:val="0"/>
        </w:rPr>
        <w:noBreakHyphen/>
      </w:r>
      <w:r w:rsidR="00B46635">
        <w:rPr>
          <w:rFonts w:ascii="Arial" w:hAnsi="Arial" w:cs="Arial"/>
          <w:b w:val="0"/>
          <w:noProof/>
        </w:rPr>
        <w:t>1</w:t>
      </w:r>
      <w:r w:rsidRPr="00E564A6">
        <w:rPr>
          <w:rFonts w:ascii="Arial" w:hAnsi="Arial" w:cs="Arial"/>
          <w:b w:val="0"/>
          <w:lang w:eastAsia="sl-SI"/>
        </w:rPr>
        <w:t>: Prikaz ukrepov v Strategiji</w:t>
      </w:r>
    </w:p>
    <w:tbl>
      <w:tblPr>
        <w:tblW w:w="9087" w:type="dxa"/>
        <w:tblInd w:w="55" w:type="dxa"/>
        <w:tblCellMar>
          <w:left w:w="70" w:type="dxa"/>
          <w:right w:w="70" w:type="dxa"/>
        </w:tblCellMar>
        <w:tblLook w:val="00A0" w:firstRow="1" w:lastRow="0" w:firstColumn="1" w:lastColumn="0" w:noHBand="0" w:noVBand="0"/>
      </w:tblPr>
      <w:tblGrid>
        <w:gridCol w:w="2477"/>
        <w:gridCol w:w="1791"/>
        <w:gridCol w:w="1417"/>
        <w:gridCol w:w="1843"/>
        <w:gridCol w:w="1559"/>
      </w:tblGrid>
      <w:tr w:rsidR="00D91D1F" w:rsidRPr="00D91D1F" w:rsidTr="00BF1663">
        <w:trPr>
          <w:trHeight w:val="357"/>
        </w:trPr>
        <w:tc>
          <w:tcPr>
            <w:tcW w:w="2477" w:type="dxa"/>
            <w:tcBorders>
              <w:top w:val="nil"/>
              <w:left w:val="nil"/>
              <w:bottom w:val="nil"/>
              <w:right w:val="nil"/>
            </w:tcBorders>
            <w:noWrap/>
            <w:vAlign w:val="center"/>
          </w:tcPr>
          <w:p w:rsidR="00D91D1F" w:rsidRPr="00D91D1F" w:rsidRDefault="00D91D1F" w:rsidP="00BF1663">
            <w:pPr>
              <w:jc w:val="both"/>
              <w:rPr>
                <w:rFonts w:ascii="Arial" w:hAnsi="Arial" w:cs="Arial"/>
                <w:sz w:val="18"/>
              </w:rPr>
            </w:pPr>
          </w:p>
        </w:tc>
        <w:tc>
          <w:tcPr>
            <w:tcW w:w="1791" w:type="dxa"/>
            <w:tcBorders>
              <w:top w:val="single" w:sz="4" w:space="0" w:color="auto"/>
              <w:left w:val="single" w:sz="4" w:space="0" w:color="auto"/>
              <w:bottom w:val="single" w:sz="4" w:space="0" w:color="auto"/>
              <w:right w:val="nil"/>
            </w:tcBorders>
            <w:vAlign w:val="center"/>
          </w:tcPr>
          <w:p w:rsidR="00D91D1F" w:rsidRPr="00D91D1F" w:rsidRDefault="00D91D1F" w:rsidP="00BF1663">
            <w:pPr>
              <w:jc w:val="center"/>
              <w:rPr>
                <w:rFonts w:ascii="Arial" w:hAnsi="Arial" w:cs="Arial"/>
                <w:sz w:val="18"/>
              </w:rPr>
            </w:pPr>
            <w:r w:rsidRPr="00D91D1F">
              <w:rPr>
                <w:rFonts w:ascii="Arial" w:hAnsi="Arial" w:cs="Arial"/>
                <w:sz w:val="18"/>
              </w:rPr>
              <w:t>Ukrepi na elementih (odsekih) omrežja</w:t>
            </w:r>
          </w:p>
        </w:tc>
        <w:tc>
          <w:tcPr>
            <w:tcW w:w="1417" w:type="dxa"/>
            <w:tcBorders>
              <w:top w:val="single" w:sz="4" w:space="0" w:color="auto"/>
              <w:left w:val="nil"/>
              <w:bottom w:val="single" w:sz="4" w:space="0" w:color="auto"/>
              <w:right w:val="nil"/>
            </w:tcBorders>
            <w:vAlign w:val="center"/>
          </w:tcPr>
          <w:p w:rsidR="00D91D1F" w:rsidRPr="00D91D1F" w:rsidRDefault="00D91D1F" w:rsidP="00BF1663">
            <w:pPr>
              <w:jc w:val="center"/>
              <w:rPr>
                <w:rFonts w:ascii="Arial" w:hAnsi="Arial" w:cs="Arial"/>
                <w:sz w:val="18"/>
              </w:rPr>
            </w:pPr>
            <w:r w:rsidRPr="00D91D1F">
              <w:rPr>
                <w:rFonts w:ascii="Arial" w:hAnsi="Arial" w:cs="Arial"/>
                <w:sz w:val="18"/>
              </w:rPr>
              <w:t>Ukrepi na omrežju</w:t>
            </w:r>
          </w:p>
        </w:tc>
        <w:tc>
          <w:tcPr>
            <w:tcW w:w="1843" w:type="dxa"/>
            <w:tcBorders>
              <w:top w:val="single" w:sz="4" w:space="0" w:color="auto"/>
              <w:left w:val="nil"/>
              <w:bottom w:val="single" w:sz="4" w:space="0" w:color="auto"/>
              <w:right w:val="single" w:sz="4" w:space="0" w:color="auto"/>
            </w:tcBorders>
            <w:vAlign w:val="center"/>
          </w:tcPr>
          <w:p w:rsidR="00D91D1F" w:rsidRPr="00D91D1F" w:rsidRDefault="00D91D1F" w:rsidP="00BF1663">
            <w:pPr>
              <w:jc w:val="center"/>
              <w:rPr>
                <w:rFonts w:ascii="Arial" w:hAnsi="Arial" w:cs="Arial"/>
                <w:sz w:val="18"/>
              </w:rPr>
            </w:pPr>
            <w:r w:rsidRPr="00D91D1F">
              <w:rPr>
                <w:rFonts w:ascii="Arial" w:hAnsi="Arial" w:cs="Arial"/>
                <w:sz w:val="18"/>
              </w:rPr>
              <w:t>Organizacijski (horizontalni) ukrepi</w:t>
            </w:r>
          </w:p>
        </w:tc>
        <w:tc>
          <w:tcPr>
            <w:tcW w:w="1559" w:type="dxa"/>
            <w:tcBorders>
              <w:top w:val="single" w:sz="4" w:space="0" w:color="auto"/>
              <w:left w:val="nil"/>
              <w:bottom w:val="single" w:sz="4" w:space="0" w:color="auto"/>
              <w:right w:val="single" w:sz="4" w:space="0" w:color="auto"/>
            </w:tcBorders>
          </w:tcPr>
          <w:p w:rsidR="00D91D1F" w:rsidRPr="00D91D1F" w:rsidRDefault="00D91D1F" w:rsidP="00BF1663">
            <w:pPr>
              <w:jc w:val="center"/>
              <w:rPr>
                <w:rFonts w:ascii="Arial" w:hAnsi="Arial" w:cs="Arial"/>
                <w:sz w:val="18"/>
              </w:rPr>
            </w:pPr>
            <w:r w:rsidRPr="00D91D1F">
              <w:rPr>
                <w:rFonts w:ascii="Arial" w:hAnsi="Arial" w:cs="Arial"/>
                <w:sz w:val="18"/>
              </w:rPr>
              <w:t>Skupaj</w:t>
            </w:r>
          </w:p>
        </w:tc>
      </w:tr>
      <w:tr w:rsidR="00D91D1F" w:rsidRPr="00D91D1F" w:rsidTr="00BF1663">
        <w:trPr>
          <w:trHeight w:val="357"/>
        </w:trPr>
        <w:tc>
          <w:tcPr>
            <w:tcW w:w="2477" w:type="dxa"/>
            <w:tcBorders>
              <w:top w:val="single" w:sz="4" w:space="0" w:color="auto"/>
              <w:left w:val="single" w:sz="4" w:space="0" w:color="auto"/>
              <w:bottom w:val="nil"/>
              <w:right w:val="single" w:sz="4" w:space="0" w:color="auto"/>
            </w:tcBorders>
            <w:noWrap/>
            <w:vAlign w:val="center"/>
          </w:tcPr>
          <w:p w:rsidR="00D91D1F" w:rsidRPr="00D91D1F" w:rsidRDefault="00D91D1F" w:rsidP="00BF1663">
            <w:pPr>
              <w:jc w:val="both"/>
              <w:rPr>
                <w:rFonts w:ascii="Arial" w:hAnsi="Arial" w:cs="Arial"/>
                <w:sz w:val="18"/>
              </w:rPr>
            </w:pPr>
            <w:r w:rsidRPr="00D91D1F">
              <w:rPr>
                <w:rFonts w:ascii="Arial" w:hAnsi="Arial" w:cs="Arial"/>
                <w:sz w:val="18"/>
              </w:rPr>
              <w:t>Železniško omrežje</w:t>
            </w:r>
          </w:p>
        </w:tc>
        <w:tc>
          <w:tcPr>
            <w:tcW w:w="1791" w:type="dxa"/>
            <w:tcBorders>
              <w:top w:val="nil"/>
              <w:left w:val="nil"/>
              <w:bottom w:val="nil"/>
              <w:right w:val="nil"/>
            </w:tcBorders>
            <w:noWrap/>
            <w:vAlign w:val="center"/>
          </w:tcPr>
          <w:p w:rsidR="00D91D1F" w:rsidRPr="00D91D1F" w:rsidRDefault="00D91D1F" w:rsidP="00BF1663">
            <w:pPr>
              <w:jc w:val="center"/>
              <w:rPr>
                <w:rFonts w:ascii="Arial" w:hAnsi="Arial" w:cs="Arial"/>
                <w:sz w:val="18"/>
              </w:rPr>
            </w:pPr>
            <w:r w:rsidRPr="00D91D1F">
              <w:rPr>
                <w:rFonts w:ascii="Arial" w:hAnsi="Arial" w:cs="Arial"/>
                <w:sz w:val="18"/>
              </w:rPr>
              <w:t>11</w:t>
            </w:r>
          </w:p>
        </w:tc>
        <w:tc>
          <w:tcPr>
            <w:tcW w:w="1417" w:type="dxa"/>
            <w:tcBorders>
              <w:top w:val="nil"/>
              <w:left w:val="nil"/>
              <w:bottom w:val="nil"/>
              <w:right w:val="nil"/>
            </w:tcBorders>
            <w:noWrap/>
            <w:vAlign w:val="center"/>
          </w:tcPr>
          <w:p w:rsidR="00D91D1F" w:rsidRPr="00D91D1F" w:rsidRDefault="00D91D1F" w:rsidP="00BF1663">
            <w:pPr>
              <w:jc w:val="center"/>
              <w:rPr>
                <w:rFonts w:ascii="Arial" w:hAnsi="Arial" w:cs="Arial"/>
                <w:sz w:val="18"/>
              </w:rPr>
            </w:pPr>
            <w:r w:rsidRPr="00D91D1F">
              <w:rPr>
                <w:rFonts w:ascii="Arial" w:hAnsi="Arial" w:cs="Arial"/>
                <w:sz w:val="18"/>
              </w:rPr>
              <w:t>4</w:t>
            </w:r>
          </w:p>
        </w:tc>
        <w:tc>
          <w:tcPr>
            <w:tcW w:w="1843" w:type="dxa"/>
            <w:tcBorders>
              <w:top w:val="nil"/>
              <w:left w:val="nil"/>
              <w:bottom w:val="nil"/>
              <w:right w:val="single" w:sz="4" w:space="0" w:color="auto"/>
            </w:tcBorders>
            <w:noWrap/>
            <w:vAlign w:val="center"/>
          </w:tcPr>
          <w:p w:rsidR="00D91D1F" w:rsidRPr="00D91D1F" w:rsidRDefault="00D91D1F" w:rsidP="00BF1663">
            <w:pPr>
              <w:jc w:val="center"/>
              <w:rPr>
                <w:rFonts w:ascii="Arial" w:hAnsi="Arial" w:cs="Arial"/>
                <w:sz w:val="18"/>
              </w:rPr>
            </w:pPr>
            <w:r w:rsidRPr="00D91D1F">
              <w:rPr>
                <w:rFonts w:ascii="Arial" w:hAnsi="Arial" w:cs="Arial"/>
                <w:sz w:val="18"/>
              </w:rPr>
              <w:t>14</w:t>
            </w:r>
          </w:p>
        </w:tc>
        <w:tc>
          <w:tcPr>
            <w:tcW w:w="1559" w:type="dxa"/>
            <w:tcBorders>
              <w:top w:val="nil"/>
              <w:left w:val="nil"/>
              <w:bottom w:val="nil"/>
              <w:right w:val="single" w:sz="4" w:space="0" w:color="auto"/>
            </w:tcBorders>
            <w:vAlign w:val="center"/>
          </w:tcPr>
          <w:p w:rsidR="00D91D1F" w:rsidRPr="00D91D1F" w:rsidRDefault="00D91D1F" w:rsidP="00BF1663">
            <w:pPr>
              <w:jc w:val="center"/>
              <w:rPr>
                <w:rFonts w:ascii="Arial" w:hAnsi="Arial" w:cs="Arial"/>
                <w:sz w:val="18"/>
              </w:rPr>
            </w:pPr>
            <w:r w:rsidRPr="00D91D1F">
              <w:rPr>
                <w:rFonts w:ascii="Arial" w:hAnsi="Arial" w:cs="Arial"/>
                <w:sz w:val="18"/>
              </w:rPr>
              <w:t>29</w:t>
            </w:r>
          </w:p>
        </w:tc>
      </w:tr>
      <w:tr w:rsidR="00D91D1F" w:rsidRPr="00D91D1F" w:rsidTr="00BF1663">
        <w:trPr>
          <w:trHeight w:val="357"/>
        </w:trPr>
        <w:tc>
          <w:tcPr>
            <w:tcW w:w="2477" w:type="dxa"/>
            <w:tcBorders>
              <w:top w:val="nil"/>
              <w:left w:val="single" w:sz="4" w:space="0" w:color="auto"/>
              <w:bottom w:val="nil"/>
              <w:right w:val="single" w:sz="4" w:space="0" w:color="auto"/>
            </w:tcBorders>
            <w:noWrap/>
            <w:vAlign w:val="center"/>
          </w:tcPr>
          <w:p w:rsidR="00D91D1F" w:rsidRPr="00D91D1F" w:rsidRDefault="00D91D1F" w:rsidP="00BF1663">
            <w:pPr>
              <w:jc w:val="both"/>
              <w:rPr>
                <w:rFonts w:ascii="Arial" w:hAnsi="Arial" w:cs="Arial"/>
                <w:sz w:val="18"/>
              </w:rPr>
            </w:pPr>
            <w:r w:rsidRPr="00D91D1F">
              <w:rPr>
                <w:rFonts w:ascii="Arial" w:hAnsi="Arial" w:cs="Arial"/>
                <w:sz w:val="18"/>
              </w:rPr>
              <w:t>Cestno omrežje</w:t>
            </w:r>
          </w:p>
        </w:tc>
        <w:tc>
          <w:tcPr>
            <w:tcW w:w="1791" w:type="dxa"/>
            <w:tcBorders>
              <w:top w:val="nil"/>
              <w:left w:val="nil"/>
              <w:bottom w:val="nil"/>
              <w:right w:val="nil"/>
            </w:tcBorders>
            <w:noWrap/>
            <w:vAlign w:val="center"/>
          </w:tcPr>
          <w:p w:rsidR="00D91D1F" w:rsidRPr="00D91D1F" w:rsidRDefault="00D91D1F" w:rsidP="00BF1663">
            <w:pPr>
              <w:jc w:val="center"/>
              <w:rPr>
                <w:rFonts w:ascii="Arial" w:hAnsi="Arial" w:cs="Arial"/>
                <w:sz w:val="18"/>
              </w:rPr>
            </w:pPr>
            <w:r w:rsidRPr="00D91D1F">
              <w:rPr>
                <w:rFonts w:ascii="Arial" w:hAnsi="Arial" w:cs="Arial"/>
                <w:sz w:val="18"/>
              </w:rPr>
              <w:t>22</w:t>
            </w:r>
          </w:p>
        </w:tc>
        <w:tc>
          <w:tcPr>
            <w:tcW w:w="1417" w:type="dxa"/>
            <w:tcBorders>
              <w:top w:val="nil"/>
              <w:left w:val="nil"/>
              <w:bottom w:val="nil"/>
              <w:right w:val="nil"/>
            </w:tcBorders>
            <w:noWrap/>
            <w:vAlign w:val="center"/>
          </w:tcPr>
          <w:p w:rsidR="00D91D1F" w:rsidRPr="00D91D1F" w:rsidRDefault="00D91D1F" w:rsidP="00BF1663">
            <w:pPr>
              <w:jc w:val="center"/>
              <w:rPr>
                <w:rFonts w:ascii="Arial" w:hAnsi="Arial" w:cs="Arial"/>
                <w:sz w:val="18"/>
              </w:rPr>
            </w:pPr>
            <w:r w:rsidRPr="00D91D1F">
              <w:rPr>
                <w:rFonts w:ascii="Arial" w:hAnsi="Arial" w:cs="Arial"/>
                <w:sz w:val="18"/>
              </w:rPr>
              <w:t>7</w:t>
            </w:r>
          </w:p>
        </w:tc>
        <w:tc>
          <w:tcPr>
            <w:tcW w:w="1843" w:type="dxa"/>
            <w:tcBorders>
              <w:top w:val="nil"/>
              <w:left w:val="nil"/>
              <w:bottom w:val="nil"/>
              <w:right w:val="single" w:sz="4" w:space="0" w:color="auto"/>
            </w:tcBorders>
            <w:noWrap/>
            <w:vAlign w:val="center"/>
          </w:tcPr>
          <w:p w:rsidR="00D91D1F" w:rsidRPr="00D91D1F" w:rsidRDefault="00D91D1F" w:rsidP="00BF1663">
            <w:pPr>
              <w:jc w:val="center"/>
              <w:rPr>
                <w:rFonts w:ascii="Arial" w:hAnsi="Arial" w:cs="Arial"/>
                <w:sz w:val="18"/>
              </w:rPr>
            </w:pPr>
            <w:r w:rsidRPr="00D91D1F">
              <w:rPr>
                <w:rFonts w:ascii="Arial" w:hAnsi="Arial" w:cs="Arial"/>
                <w:sz w:val="18"/>
              </w:rPr>
              <w:t>8</w:t>
            </w:r>
          </w:p>
        </w:tc>
        <w:tc>
          <w:tcPr>
            <w:tcW w:w="1559" w:type="dxa"/>
            <w:tcBorders>
              <w:top w:val="nil"/>
              <w:left w:val="nil"/>
              <w:bottom w:val="nil"/>
              <w:right w:val="single" w:sz="4" w:space="0" w:color="auto"/>
            </w:tcBorders>
            <w:vAlign w:val="center"/>
          </w:tcPr>
          <w:p w:rsidR="00D91D1F" w:rsidRPr="00D91D1F" w:rsidRDefault="00D91D1F" w:rsidP="00BF1663">
            <w:pPr>
              <w:jc w:val="center"/>
              <w:rPr>
                <w:rFonts w:ascii="Arial" w:hAnsi="Arial" w:cs="Arial"/>
                <w:sz w:val="18"/>
              </w:rPr>
            </w:pPr>
            <w:r w:rsidRPr="00D91D1F">
              <w:rPr>
                <w:rFonts w:ascii="Arial" w:hAnsi="Arial" w:cs="Arial"/>
                <w:sz w:val="18"/>
              </w:rPr>
              <w:t>37</w:t>
            </w:r>
          </w:p>
        </w:tc>
      </w:tr>
      <w:tr w:rsidR="00D91D1F" w:rsidRPr="00D91D1F" w:rsidTr="00BF1663">
        <w:trPr>
          <w:trHeight w:val="357"/>
        </w:trPr>
        <w:tc>
          <w:tcPr>
            <w:tcW w:w="2477" w:type="dxa"/>
            <w:tcBorders>
              <w:top w:val="nil"/>
              <w:left w:val="single" w:sz="4" w:space="0" w:color="auto"/>
              <w:bottom w:val="nil"/>
              <w:right w:val="single" w:sz="4" w:space="0" w:color="auto"/>
            </w:tcBorders>
            <w:noWrap/>
            <w:vAlign w:val="center"/>
          </w:tcPr>
          <w:p w:rsidR="00D91D1F" w:rsidRPr="00D91D1F" w:rsidRDefault="00D91D1F" w:rsidP="00BF1663">
            <w:pPr>
              <w:jc w:val="both"/>
              <w:rPr>
                <w:rFonts w:ascii="Arial" w:hAnsi="Arial" w:cs="Arial"/>
                <w:sz w:val="18"/>
              </w:rPr>
            </w:pPr>
            <w:r w:rsidRPr="00D91D1F">
              <w:rPr>
                <w:rFonts w:ascii="Arial" w:hAnsi="Arial" w:cs="Arial"/>
                <w:sz w:val="18"/>
              </w:rPr>
              <w:t>Mestno (urbano) omrežje</w:t>
            </w:r>
          </w:p>
        </w:tc>
        <w:tc>
          <w:tcPr>
            <w:tcW w:w="1791" w:type="dxa"/>
            <w:tcBorders>
              <w:top w:val="nil"/>
              <w:left w:val="nil"/>
              <w:bottom w:val="nil"/>
              <w:right w:val="nil"/>
            </w:tcBorders>
            <w:noWrap/>
            <w:vAlign w:val="center"/>
          </w:tcPr>
          <w:p w:rsidR="00D91D1F" w:rsidRPr="00D91D1F" w:rsidRDefault="00D91D1F" w:rsidP="00BF1663">
            <w:pPr>
              <w:jc w:val="center"/>
              <w:rPr>
                <w:rFonts w:ascii="Arial" w:hAnsi="Arial" w:cs="Arial"/>
                <w:sz w:val="18"/>
              </w:rPr>
            </w:pPr>
            <w:r w:rsidRPr="00D91D1F">
              <w:rPr>
                <w:rFonts w:ascii="Arial" w:hAnsi="Arial" w:cs="Arial"/>
                <w:sz w:val="18"/>
              </w:rPr>
              <w:t>4</w:t>
            </w:r>
          </w:p>
        </w:tc>
        <w:tc>
          <w:tcPr>
            <w:tcW w:w="1417" w:type="dxa"/>
            <w:tcBorders>
              <w:top w:val="nil"/>
              <w:left w:val="nil"/>
              <w:bottom w:val="nil"/>
              <w:right w:val="nil"/>
            </w:tcBorders>
            <w:noWrap/>
            <w:vAlign w:val="center"/>
          </w:tcPr>
          <w:p w:rsidR="00D91D1F" w:rsidRPr="00D91D1F" w:rsidRDefault="00D91D1F" w:rsidP="00BF1663">
            <w:pPr>
              <w:jc w:val="center"/>
              <w:rPr>
                <w:rFonts w:ascii="Arial" w:hAnsi="Arial" w:cs="Arial"/>
                <w:sz w:val="18"/>
              </w:rPr>
            </w:pPr>
            <w:r w:rsidRPr="00D91D1F">
              <w:rPr>
                <w:rFonts w:ascii="Arial" w:hAnsi="Arial" w:cs="Arial"/>
                <w:sz w:val="18"/>
              </w:rPr>
              <w:t>7</w:t>
            </w:r>
          </w:p>
        </w:tc>
        <w:tc>
          <w:tcPr>
            <w:tcW w:w="1843" w:type="dxa"/>
            <w:tcBorders>
              <w:top w:val="nil"/>
              <w:left w:val="nil"/>
              <w:bottom w:val="nil"/>
              <w:right w:val="single" w:sz="4" w:space="0" w:color="auto"/>
            </w:tcBorders>
            <w:noWrap/>
            <w:vAlign w:val="center"/>
          </w:tcPr>
          <w:p w:rsidR="00D91D1F" w:rsidRPr="00D91D1F" w:rsidRDefault="00D91D1F" w:rsidP="00BF1663">
            <w:pPr>
              <w:jc w:val="center"/>
              <w:rPr>
                <w:rFonts w:ascii="Arial" w:hAnsi="Arial" w:cs="Arial"/>
                <w:sz w:val="18"/>
              </w:rPr>
            </w:pPr>
            <w:r w:rsidRPr="00D91D1F">
              <w:rPr>
                <w:rFonts w:ascii="Arial" w:hAnsi="Arial" w:cs="Arial"/>
                <w:sz w:val="18"/>
              </w:rPr>
              <w:t>11</w:t>
            </w:r>
          </w:p>
        </w:tc>
        <w:tc>
          <w:tcPr>
            <w:tcW w:w="1559" w:type="dxa"/>
            <w:tcBorders>
              <w:top w:val="nil"/>
              <w:left w:val="nil"/>
              <w:bottom w:val="nil"/>
              <w:right w:val="single" w:sz="4" w:space="0" w:color="auto"/>
            </w:tcBorders>
            <w:vAlign w:val="center"/>
          </w:tcPr>
          <w:p w:rsidR="00D91D1F" w:rsidRPr="00D91D1F" w:rsidRDefault="00D91D1F" w:rsidP="00BF1663">
            <w:pPr>
              <w:jc w:val="center"/>
              <w:rPr>
                <w:rFonts w:ascii="Arial" w:hAnsi="Arial" w:cs="Arial"/>
                <w:sz w:val="18"/>
              </w:rPr>
            </w:pPr>
            <w:r w:rsidRPr="00D91D1F">
              <w:rPr>
                <w:rFonts w:ascii="Arial" w:hAnsi="Arial" w:cs="Arial"/>
                <w:sz w:val="18"/>
              </w:rPr>
              <w:t>22</w:t>
            </w:r>
          </w:p>
        </w:tc>
      </w:tr>
      <w:tr w:rsidR="00D91D1F" w:rsidRPr="00D91D1F" w:rsidTr="00BF1663">
        <w:trPr>
          <w:trHeight w:val="357"/>
        </w:trPr>
        <w:tc>
          <w:tcPr>
            <w:tcW w:w="2477" w:type="dxa"/>
            <w:tcBorders>
              <w:top w:val="nil"/>
              <w:left w:val="single" w:sz="4" w:space="0" w:color="auto"/>
              <w:bottom w:val="nil"/>
              <w:right w:val="single" w:sz="4" w:space="0" w:color="auto"/>
            </w:tcBorders>
            <w:noWrap/>
            <w:vAlign w:val="center"/>
          </w:tcPr>
          <w:p w:rsidR="00D91D1F" w:rsidRPr="00D91D1F" w:rsidRDefault="00D91D1F" w:rsidP="00BF1663">
            <w:pPr>
              <w:jc w:val="both"/>
              <w:rPr>
                <w:rFonts w:ascii="Arial" w:hAnsi="Arial" w:cs="Arial"/>
                <w:sz w:val="18"/>
              </w:rPr>
            </w:pPr>
            <w:r w:rsidRPr="00D91D1F">
              <w:rPr>
                <w:rFonts w:ascii="Arial" w:hAnsi="Arial" w:cs="Arial"/>
                <w:sz w:val="18"/>
              </w:rPr>
              <w:t>Vodni promet</w:t>
            </w:r>
          </w:p>
        </w:tc>
        <w:tc>
          <w:tcPr>
            <w:tcW w:w="1791" w:type="dxa"/>
            <w:tcBorders>
              <w:top w:val="nil"/>
              <w:left w:val="nil"/>
              <w:bottom w:val="nil"/>
              <w:right w:val="nil"/>
            </w:tcBorders>
            <w:noWrap/>
            <w:vAlign w:val="center"/>
          </w:tcPr>
          <w:p w:rsidR="00D91D1F" w:rsidRPr="00D91D1F" w:rsidRDefault="00D91D1F" w:rsidP="00BF1663">
            <w:pPr>
              <w:jc w:val="center"/>
              <w:rPr>
                <w:rFonts w:ascii="Arial" w:hAnsi="Arial" w:cs="Arial"/>
                <w:sz w:val="18"/>
              </w:rPr>
            </w:pPr>
            <w:r w:rsidRPr="00D91D1F">
              <w:rPr>
                <w:rFonts w:ascii="Arial" w:hAnsi="Arial" w:cs="Arial"/>
                <w:sz w:val="18"/>
              </w:rPr>
              <w:t>6</w:t>
            </w:r>
          </w:p>
        </w:tc>
        <w:tc>
          <w:tcPr>
            <w:tcW w:w="1417" w:type="dxa"/>
            <w:tcBorders>
              <w:top w:val="nil"/>
              <w:left w:val="nil"/>
              <w:bottom w:val="nil"/>
              <w:right w:val="nil"/>
            </w:tcBorders>
            <w:noWrap/>
            <w:vAlign w:val="center"/>
          </w:tcPr>
          <w:p w:rsidR="00D91D1F" w:rsidRPr="00D91D1F" w:rsidRDefault="00D91D1F" w:rsidP="00BF1663">
            <w:pPr>
              <w:jc w:val="center"/>
              <w:rPr>
                <w:rFonts w:ascii="Arial" w:hAnsi="Arial" w:cs="Arial"/>
                <w:sz w:val="18"/>
              </w:rPr>
            </w:pPr>
            <w:r w:rsidRPr="00D91D1F">
              <w:rPr>
                <w:rFonts w:ascii="Arial" w:hAnsi="Arial" w:cs="Arial"/>
                <w:sz w:val="18"/>
              </w:rPr>
              <w:t>3</w:t>
            </w:r>
          </w:p>
        </w:tc>
        <w:tc>
          <w:tcPr>
            <w:tcW w:w="1843" w:type="dxa"/>
            <w:tcBorders>
              <w:top w:val="nil"/>
              <w:left w:val="nil"/>
              <w:bottom w:val="nil"/>
              <w:right w:val="single" w:sz="4" w:space="0" w:color="auto"/>
            </w:tcBorders>
            <w:noWrap/>
            <w:vAlign w:val="center"/>
          </w:tcPr>
          <w:p w:rsidR="00D91D1F" w:rsidRPr="00D91D1F" w:rsidRDefault="00D91D1F" w:rsidP="00BF1663">
            <w:pPr>
              <w:jc w:val="center"/>
              <w:rPr>
                <w:rFonts w:ascii="Arial" w:hAnsi="Arial" w:cs="Arial"/>
                <w:sz w:val="18"/>
              </w:rPr>
            </w:pPr>
            <w:r w:rsidRPr="00D91D1F">
              <w:rPr>
                <w:rFonts w:ascii="Arial" w:hAnsi="Arial" w:cs="Arial"/>
                <w:sz w:val="18"/>
              </w:rPr>
              <w:t>5</w:t>
            </w:r>
          </w:p>
        </w:tc>
        <w:tc>
          <w:tcPr>
            <w:tcW w:w="1559" w:type="dxa"/>
            <w:tcBorders>
              <w:top w:val="nil"/>
              <w:left w:val="nil"/>
              <w:bottom w:val="nil"/>
              <w:right w:val="single" w:sz="4" w:space="0" w:color="auto"/>
            </w:tcBorders>
            <w:vAlign w:val="center"/>
          </w:tcPr>
          <w:p w:rsidR="00D91D1F" w:rsidRPr="00D91D1F" w:rsidRDefault="00D91D1F" w:rsidP="00BF1663">
            <w:pPr>
              <w:jc w:val="center"/>
              <w:rPr>
                <w:rFonts w:ascii="Arial" w:hAnsi="Arial" w:cs="Arial"/>
                <w:sz w:val="18"/>
              </w:rPr>
            </w:pPr>
            <w:r w:rsidRPr="00D91D1F">
              <w:rPr>
                <w:rFonts w:ascii="Arial" w:hAnsi="Arial" w:cs="Arial"/>
                <w:sz w:val="18"/>
              </w:rPr>
              <w:t>14</w:t>
            </w:r>
          </w:p>
        </w:tc>
      </w:tr>
      <w:tr w:rsidR="00D91D1F" w:rsidRPr="00D91D1F" w:rsidTr="00BF1663">
        <w:trPr>
          <w:trHeight w:val="357"/>
        </w:trPr>
        <w:tc>
          <w:tcPr>
            <w:tcW w:w="2477" w:type="dxa"/>
            <w:tcBorders>
              <w:top w:val="nil"/>
              <w:left w:val="single" w:sz="4" w:space="0" w:color="auto"/>
              <w:bottom w:val="nil"/>
              <w:right w:val="single" w:sz="4" w:space="0" w:color="auto"/>
            </w:tcBorders>
            <w:noWrap/>
            <w:vAlign w:val="center"/>
          </w:tcPr>
          <w:p w:rsidR="00D91D1F" w:rsidRPr="00D91D1F" w:rsidRDefault="00D91D1F" w:rsidP="00BF1663">
            <w:pPr>
              <w:jc w:val="both"/>
              <w:rPr>
                <w:rFonts w:ascii="Arial" w:hAnsi="Arial" w:cs="Arial"/>
                <w:sz w:val="18"/>
              </w:rPr>
            </w:pPr>
            <w:r w:rsidRPr="00D91D1F">
              <w:rPr>
                <w:rFonts w:ascii="Arial" w:hAnsi="Arial" w:cs="Arial"/>
                <w:sz w:val="18"/>
              </w:rPr>
              <w:t>Zračni promet</w:t>
            </w:r>
          </w:p>
        </w:tc>
        <w:tc>
          <w:tcPr>
            <w:tcW w:w="1791" w:type="dxa"/>
            <w:tcBorders>
              <w:top w:val="nil"/>
              <w:left w:val="nil"/>
              <w:bottom w:val="nil"/>
              <w:right w:val="nil"/>
            </w:tcBorders>
            <w:noWrap/>
            <w:vAlign w:val="center"/>
          </w:tcPr>
          <w:p w:rsidR="00D91D1F" w:rsidRPr="00D91D1F" w:rsidRDefault="00D91D1F" w:rsidP="00BF1663">
            <w:pPr>
              <w:jc w:val="center"/>
              <w:rPr>
                <w:rFonts w:ascii="Arial" w:hAnsi="Arial" w:cs="Arial"/>
                <w:sz w:val="18"/>
              </w:rPr>
            </w:pPr>
            <w:r w:rsidRPr="00D91D1F">
              <w:rPr>
                <w:rFonts w:ascii="Arial" w:hAnsi="Arial" w:cs="Arial"/>
                <w:sz w:val="18"/>
              </w:rPr>
              <w:t>3</w:t>
            </w:r>
          </w:p>
        </w:tc>
        <w:tc>
          <w:tcPr>
            <w:tcW w:w="1417" w:type="dxa"/>
            <w:tcBorders>
              <w:top w:val="nil"/>
              <w:left w:val="nil"/>
              <w:bottom w:val="nil"/>
              <w:right w:val="nil"/>
            </w:tcBorders>
            <w:noWrap/>
            <w:vAlign w:val="center"/>
          </w:tcPr>
          <w:p w:rsidR="00D91D1F" w:rsidRPr="00D91D1F" w:rsidRDefault="00D91D1F" w:rsidP="00BF1663">
            <w:pPr>
              <w:jc w:val="center"/>
              <w:rPr>
                <w:rFonts w:ascii="Arial" w:hAnsi="Arial" w:cs="Arial"/>
                <w:sz w:val="18"/>
              </w:rPr>
            </w:pPr>
            <w:r w:rsidRPr="00D91D1F">
              <w:rPr>
                <w:rFonts w:ascii="Arial" w:hAnsi="Arial" w:cs="Arial"/>
                <w:sz w:val="18"/>
              </w:rPr>
              <w:t>2</w:t>
            </w:r>
          </w:p>
        </w:tc>
        <w:tc>
          <w:tcPr>
            <w:tcW w:w="1843" w:type="dxa"/>
            <w:tcBorders>
              <w:top w:val="nil"/>
              <w:left w:val="nil"/>
              <w:bottom w:val="nil"/>
              <w:right w:val="single" w:sz="4" w:space="0" w:color="auto"/>
            </w:tcBorders>
            <w:noWrap/>
            <w:vAlign w:val="center"/>
          </w:tcPr>
          <w:p w:rsidR="00D91D1F" w:rsidRPr="00D91D1F" w:rsidRDefault="00D91D1F" w:rsidP="00BF1663">
            <w:pPr>
              <w:jc w:val="center"/>
              <w:rPr>
                <w:rFonts w:ascii="Arial" w:hAnsi="Arial" w:cs="Arial"/>
                <w:sz w:val="18"/>
              </w:rPr>
            </w:pPr>
            <w:r w:rsidRPr="00D91D1F">
              <w:rPr>
                <w:rFonts w:ascii="Arial" w:hAnsi="Arial" w:cs="Arial"/>
                <w:sz w:val="18"/>
              </w:rPr>
              <w:t>1</w:t>
            </w:r>
          </w:p>
        </w:tc>
        <w:tc>
          <w:tcPr>
            <w:tcW w:w="1559" w:type="dxa"/>
            <w:tcBorders>
              <w:top w:val="nil"/>
              <w:left w:val="nil"/>
              <w:bottom w:val="nil"/>
              <w:right w:val="single" w:sz="4" w:space="0" w:color="auto"/>
            </w:tcBorders>
            <w:vAlign w:val="center"/>
          </w:tcPr>
          <w:p w:rsidR="00D91D1F" w:rsidRPr="00D91D1F" w:rsidRDefault="00D91D1F" w:rsidP="00BF1663">
            <w:pPr>
              <w:jc w:val="center"/>
              <w:rPr>
                <w:rFonts w:ascii="Arial" w:hAnsi="Arial" w:cs="Arial"/>
                <w:sz w:val="18"/>
              </w:rPr>
            </w:pPr>
            <w:r w:rsidRPr="00D91D1F">
              <w:rPr>
                <w:rFonts w:ascii="Arial" w:hAnsi="Arial" w:cs="Arial"/>
                <w:sz w:val="18"/>
              </w:rPr>
              <w:t>6</w:t>
            </w:r>
          </w:p>
        </w:tc>
      </w:tr>
      <w:tr w:rsidR="00D91D1F" w:rsidRPr="00D91D1F" w:rsidTr="00BF1663">
        <w:trPr>
          <w:trHeight w:val="357"/>
        </w:trPr>
        <w:tc>
          <w:tcPr>
            <w:tcW w:w="2477" w:type="dxa"/>
            <w:tcBorders>
              <w:top w:val="nil"/>
              <w:left w:val="single" w:sz="4" w:space="0" w:color="auto"/>
              <w:bottom w:val="single" w:sz="4" w:space="0" w:color="auto"/>
              <w:right w:val="single" w:sz="4" w:space="0" w:color="auto"/>
            </w:tcBorders>
            <w:noWrap/>
            <w:vAlign w:val="center"/>
          </w:tcPr>
          <w:p w:rsidR="00D91D1F" w:rsidRPr="00D91D1F" w:rsidRDefault="00D91D1F" w:rsidP="00BF1663">
            <w:pPr>
              <w:jc w:val="both"/>
              <w:rPr>
                <w:rFonts w:ascii="Arial" w:hAnsi="Arial" w:cs="Arial"/>
                <w:b/>
                <w:bCs/>
                <w:sz w:val="18"/>
              </w:rPr>
            </w:pPr>
            <w:r w:rsidRPr="00D91D1F">
              <w:rPr>
                <w:rFonts w:ascii="Arial" w:hAnsi="Arial" w:cs="Arial"/>
                <w:b/>
                <w:bCs/>
                <w:sz w:val="18"/>
              </w:rPr>
              <w:t>Skupaj</w:t>
            </w:r>
          </w:p>
        </w:tc>
        <w:tc>
          <w:tcPr>
            <w:tcW w:w="1791" w:type="dxa"/>
            <w:tcBorders>
              <w:top w:val="nil"/>
              <w:left w:val="nil"/>
              <w:bottom w:val="single" w:sz="4" w:space="0" w:color="auto"/>
              <w:right w:val="nil"/>
            </w:tcBorders>
            <w:noWrap/>
            <w:vAlign w:val="center"/>
          </w:tcPr>
          <w:p w:rsidR="00D91D1F" w:rsidRPr="00D91D1F" w:rsidRDefault="00D91D1F" w:rsidP="00BF1663">
            <w:pPr>
              <w:jc w:val="center"/>
              <w:rPr>
                <w:rFonts w:ascii="Arial" w:hAnsi="Arial" w:cs="Arial"/>
                <w:b/>
                <w:bCs/>
                <w:sz w:val="18"/>
              </w:rPr>
            </w:pPr>
            <w:r w:rsidRPr="00D91D1F">
              <w:rPr>
                <w:rFonts w:ascii="Arial" w:hAnsi="Arial" w:cs="Arial"/>
                <w:b/>
                <w:bCs/>
                <w:sz w:val="18"/>
              </w:rPr>
              <w:t>46</w:t>
            </w:r>
          </w:p>
        </w:tc>
        <w:tc>
          <w:tcPr>
            <w:tcW w:w="1417" w:type="dxa"/>
            <w:tcBorders>
              <w:top w:val="nil"/>
              <w:left w:val="nil"/>
              <w:bottom w:val="single" w:sz="4" w:space="0" w:color="auto"/>
              <w:right w:val="nil"/>
            </w:tcBorders>
            <w:noWrap/>
            <w:vAlign w:val="center"/>
          </w:tcPr>
          <w:p w:rsidR="00D91D1F" w:rsidRPr="00D91D1F" w:rsidRDefault="00D91D1F" w:rsidP="00BF1663">
            <w:pPr>
              <w:jc w:val="center"/>
              <w:rPr>
                <w:rFonts w:ascii="Arial" w:hAnsi="Arial" w:cs="Arial"/>
                <w:b/>
                <w:bCs/>
                <w:sz w:val="18"/>
              </w:rPr>
            </w:pPr>
            <w:r w:rsidRPr="00D91D1F">
              <w:rPr>
                <w:rFonts w:ascii="Arial" w:hAnsi="Arial" w:cs="Arial"/>
                <w:b/>
                <w:bCs/>
                <w:sz w:val="18"/>
              </w:rPr>
              <w:t>23</w:t>
            </w:r>
          </w:p>
        </w:tc>
        <w:tc>
          <w:tcPr>
            <w:tcW w:w="1843" w:type="dxa"/>
            <w:tcBorders>
              <w:top w:val="nil"/>
              <w:left w:val="nil"/>
              <w:bottom w:val="single" w:sz="4" w:space="0" w:color="auto"/>
              <w:right w:val="single" w:sz="4" w:space="0" w:color="auto"/>
            </w:tcBorders>
            <w:noWrap/>
            <w:vAlign w:val="center"/>
          </w:tcPr>
          <w:p w:rsidR="00D91D1F" w:rsidRPr="00D91D1F" w:rsidRDefault="00D91D1F" w:rsidP="00BF1663">
            <w:pPr>
              <w:jc w:val="center"/>
              <w:rPr>
                <w:rFonts w:ascii="Arial" w:hAnsi="Arial" w:cs="Arial"/>
                <w:b/>
                <w:bCs/>
                <w:sz w:val="18"/>
              </w:rPr>
            </w:pPr>
            <w:r w:rsidRPr="00D91D1F">
              <w:rPr>
                <w:rFonts w:ascii="Arial" w:hAnsi="Arial" w:cs="Arial"/>
                <w:b/>
                <w:bCs/>
                <w:sz w:val="18"/>
              </w:rPr>
              <w:t>39</w:t>
            </w:r>
          </w:p>
        </w:tc>
        <w:tc>
          <w:tcPr>
            <w:tcW w:w="1559" w:type="dxa"/>
            <w:tcBorders>
              <w:top w:val="nil"/>
              <w:left w:val="nil"/>
              <w:bottom w:val="single" w:sz="4" w:space="0" w:color="auto"/>
              <w:right w:val="single" w:sz="4" w:space="0" w:color="auto"/>
            </w:tcBorders>
            <w:vAlign w:val="center"/>
          </w:tcPr>
          <w:p w:rsidR="00D91D1F" w:rsidRPr="00D91D1F" w:rsidRDefault="00D91D1F" w:rsidP="00BF1663">
            <w:pPr>
              <w:jc w:val="center"/>
              <w:rPr>
                <w:rFonts w:ascii="Arial" w:hAnsi="Arial" w:cs="Arial"/>
                <w:b/>
                <w:bCs/>
                <w:sz w:val="18"/>
              </w:rPr>
            </w:pPr>
            <w:r w:rsidRPr="00D91D1F">
              <w:rPr>
                <w:rFonts w:ascii="Arial" w:hAnsi="Arial" w:cs="Arial"/>
                <w:b/>
                <w:bCs/>
                <w:sz w:val="18"/>
              </w:rPr>
              <w:t>108</w:t>
            </w:r>
          </w:p>
        </w:tc>
      </w:tr>
    </w:tbl>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Podlaga za Nacionalni program s</w:t>
      </w:r>
      <w:r w:rsidR="002E0F7D">
        <w:rPr>
          <w:rFonts w:ascii="Arial" w:hAnsi="Arial" w:cs="Arial"/>
          <w:sz w:val="20"/>
          <w:szCs w:val="20"/>
        </w:rPr>
        <w:t>o</w:t>
      </w:r>
      <w:r w:rsidRPr="00E564A6">
        <w:rPr>
          <w:rFonts w:ascii="Arial" w:hAnsi="Arial" w:cs="Arial"/>
          <w:sz w:val="20"/>
          <w:szCs w:val="20"/>
        </w:rPr>
        <w:t xml:space="preserve"> tudi poročil</w:t>
      </w:r>
      <w:r w:rsidR="002E0F7D">
        <w:rPr>
          <w:rFonts w:ascii="Arial" w:hAnsi="Arial" w:cs="Arial"/>
          <w:sz w:val="20"/>
          <w:szCs w:val="20"/>
        </w:rPr>
        <w:t>a</w:t>
      </w:r>
      <w:r w:rsidRPr="00E564A6">
        <w:rPr>
          <w:rFonts w:ascii="Arial" w:hAnsi="Arial" w:cs="Arial"/>
          <w:sz w:val="20"/>
          <w:szCs w:val="20"/>
        </w:rPr>
        <w:t xml:space="preserve"> o realizaciji Nacionalnega programa razvoja slovenske žel</w:t>
      </w:r>
      <w:r w:rsidR="007A7C23">
        <w:rPr>
          <w:rFonts w:ascii="Arial" w:hAnsi="Arial" w:cs="Arial"/>
          <w:sz w:val="20"/>
          <w:szCs w:val="20"/>
        </w:rPr>
        <w:t>ezniške infrastrukture (</w:t>
      </w:r>
      <w:r w:rsidRPr="00E564A6">
        <w:rPr>
          <w:rFonts w:ascii="Arial" w:hAnsi="Arial" w:cs="Arial"/>
          <w:sz w:val="20"/>
          <w:szCs w:val="20"/>
        </w:rPr>
        <w:t>Uradni list RS, št. 13/96)</w:t>
      </w:r>
      <w:r w:rsidR="002E0F7D">
        <w:rPr>
          <w:rFonts w:ascii="Arial" w:hAnsi="Arial" w:cs="Arial"/>
          <w:sz w:val="20"/>
          <w:szCs w:val="20"/>
        </w:rPr>
        <w:t>,</w:t>
      </w:r>
      <w:r w:rsidRPr="00E564A6">
        <w:rPr>
          <w:rFonts w:ascii="Arial" w:hAnsi="Arial" w:cs="Arial"/>
          <w:sz w:val="20"/>
          <w:szCs w:val="20"/>
        </w:rPr>
        <w:t xml:space="preserve"> Nacionalnega programa izgradnje avtoce</w:t>
      </w:r>
      <w:r w:rsidR="007A7C23">
        <w:rPr>
          <w:rFonts w:ascii="Arial" w:hAnsi="Arial" w:cs="Arial"/>
          <w:sz w:val="20"/>
          <w:szCs w:val="20"/>
        </w:rPr>
        <w:t>st v Republiki Sloveniji (</w:t>
      </w:r>
      <w:r w:rsidRPr="00E564A6">
        <w:rPr>
          <w:rFonts w:ascii="Arial" w:hAnsi="Arial" w:cs="Arial"/>
          <w:sz w:val="20"/>
          <w:szCs w:val="20"/>
        </w:rPr>
        <w:t>Uradni list RS, št. 13/96, 41/98 in 50/04)</w:t>
      </w:r>
      <w:r w:rsidR="002E0F7D">
        <w:rPr>
          <w:rFonts w:ascii="Arial" w:hAnsi="Arial" w:cs="Arial"/>
          <w:sz w:val="20"/>
          <w:szCs w:val="20"/>
        </w:rPr>
        <w:t xml:space="preserve">, </w:t>
      </w:r>
      <w:r w:rsidR="002E0F7D" w:rsidRPr="00A13B0C">
        <w:rPr>
          <w:rFonts w:ascii="Arial" w:hAnsi="Arial" w:cs="Arial"/>
          <w:sz w:val="20"/>
          <w:szCs w:val="20"/>
        </w:rPr>
        <w:t>Resolucije o nacionalnem programu razvoja pomorstva Republike Slovenije</w:t>
      </w:r>
      <w:r w:rsidR="002E0F7D" w:rsidRPr="002E0F7D">
        <w:rPr>
          <w:rFonts w:ascii="Arial" w:hAnsi="Arial" w:cs="Arial"/>
          <w:sz w:val="20"/>
          <w:szCs w:val="20"/>
        </w:rPr>
        <w:t xml:space="preserve"> (Uradni list RS, št. 87/10) v delih, ki se nanašajo na pristanišče za mednarodni promet v Kopru in ostala pristanišča, izboljšanje pomorske varnosti, ki predvideva izgradnjo nadzornega centra in nadgradnjo VTS opreme ter drugih sistemov za spremljanje pomorskega prometa, vzdrževanje objektov za varnost plovbe, hidrografske meritve slovenskega morja, povečanje administrativnih zmogljivosti in usposobljenosti URSP z vzpostavitvijo novih poslovnih prostorov URSP</w:t>
      </w:r>
      <w:r w:rsidR="002E0F7D">
        <w:rPr>
          <w:rFonts w:ascii="Arial" w:hAnsi="Arial" w:cs="Arial"/>
          <w:sz w:val="20"/>
          <w:szCs w:val="20"/>
        </w:rPr>
        <w:t xml:space="preserve"> ter Resolucije</w:t>
      </w:r>
      <w:r w:rsidR="002E0F7D" w:rsidRPr="002E0F7D">
        <w:rPr>
          <w:rFonts w:ascii="Arial" w:hAnsi="Arial" w:cs="Arial"/>
          <w:sz w:val="20"/>
          <w:szCs w:val="20"/>
        </w:rPr>
        <w:t xml:space="preserve"> o nacionalnem programu razvoja civilnega letalstva Republike Slovenije do leta 2020 (Uradni list RS, št. 9/10) v delih, ki se nanaša na javna letališča za mednarodni promet</w:t>
      </w:r>
      <w:r w:rsidR="002E0F7D">
        <w:rPr>
          <w:rFonts w:ascii="Arial" w:hAnsi="Arial" w:cs="Arial"/>
          <w:sz w:val="20"/>
          <w:szCs w:val="20"/>
        </w:rPr>
        <w:t>.</w:t>
      </w:r>
    </w:p>
    <w:p w:rsidR="00D91D1F" w:rsidRPr="00E564A6" w:rsidRDefault="00D91D1F" w:rsidP="00D91D1F">
      <w:pPr>
        <w:jc w:val="both"/>
        <w:rPr>
          <w:rFonts w:ascii="Arial" w:hAnsi="Arial" w:cs="Arial"/>
          <w:sz w:val="20"/>
          <w:szCs w:val="20"/>
        </w:rPr>
      </w:pPr>
    </w:p>
    <w:p w:rsidR="00D91D1F" w:rsidRPr="00D91D1F" w:rsidRDefault="00D91D1F" w:rsidP="00D91D1F">
      <w:pPr>
        <w:jc w:val="both"/>
        <w:rPr>
          <w:rFonts w:ascii="Arial" w:hAnsi="Arial" w:cs="Arial"/>
        </w:rPr>
      </w:pPr>
    </w:p>
    <w:p w:rsidR="00D91D1F" w:rsidRPr="00E564A6" w:rsidRDefault="00B46635" w:rsidP="00B46635">
      <w:pPr>
        <w:pStyle w:val="Naslov2"/>
        <w:ind w:left="567" w:hanging="567"/>
      </w:pPr>
      <w:bookmarkStart w:id="21" w:name="_Toc456688570"/>
      <w:r>
        <w:t>4.2</w:t>
      </w:r>
      <w:r>
        <w:tab/>
      </w:r>
      <w:r w:rsidR="00D91D1F" w:rsidRPr="00E564A6">
        <w:t>Poročilo o realizaciji Nacionalnega programa razvoja slovenske železniške infrastrukture (NPRSZI)</w:t>
      </w:r>
      <w:bookmarkEnd w:id="21"/>
    </w:p>
    <w:p w:rsidR="009047E1" w:rsidRDefault="009047E1"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Nacionalni program je zajemal obdobje od leta 1994 do dokončanja projektov, ki so sestavni del tega programa. Dinamika potrebnih finančnih sredstev je bila prikazana le do leta 2005, vendar pa so bili dolgoročnejši projekti, kot so hitra proga Trst–Ljubljana–Zagreb s priključki na Koper in Reko, drugi tir Ljubljana–Jesenice in projekti regionalnih prog, predvideni za izvedbo do leta 2015.</w:t>
      </w:r>
    </w:p>
    <w:p w:rsidR="00D91D1F" w:rsidRPr="00E564A6" w:rsidRDefault="00D91D1F" w:rsidP="00D91D1F">
      <w:pPr>
        <w:pStyle w:val="Odstavek"/>
        <w:spacing w:before="120"/>
        <w:ind w:firstLine="0"/>
        <w:rPr>
          <w:sz w:val="20"/>
          <w:szCs w:val="20"/>
        </w:rPr>
      </w:pPr>
      <w:r w:rsidRPr="00E564A6">
        <w:rPr>
          <w:sz w:val="20"/>
          <w:szCs w:val="20"/>
        </w:rPr>
        <w:t>Pri posodobitvi in razvoju železniške infrastrukture je program iz leta 1996 predvidel tri temeljne med seboj ločene, vendar funkcionalno povezane sklope, katerih izvedba mora biti usklajena s standardi, opredeljenimi v veljavnih evropskih dokumentih in predpisih UIC</w:t>
      </w:r>
      <w:r w:rsidRPr="00E564A6">
        <w:rPr>
          <w:rStyle w:val="Sprotnaopomba-sklic"/>
          <w:sz w:val="20"/>
          <w:szCs w:val="20"/>
        </w:rPr>
        <w:footnoteReference w:id="2"/>
      </w:r>
      <w:r w:rsidRPr="00E564A6">
        <w:rPr>
          <w:sz w:val="20"/>
          <w:szCs w:val="20"/>
        </w:rPr>
        <w:t>. Ti temeljni sklopi so:</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 xml:space="preserve">obnova obstoječih prog, </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dograditev obstoječih prog in</w:t>
      </w:r>
    </w:p>
    <w:p w:rsidR="00D91D1F"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gra</w:t>
      </w:r>
      <w:r w:rsidRPr="00BC4315">
        <w:rPr>
          <w:rFonts w:ascii="Arial" w:hAnsi="Arial" w:cs="Arial"/>
          <w:sz w:val="20"/>
          <w:szCs w:val="20"/>
        </w:rPr>
        <w:t xml:space="preserve">dnja prog za višje in visoke hitrosti. </w:t>
      </w:r>
    </w:p>
    <w:p w:rsidR="009047E1" w:rsidRPr="00BC4315" w:rsidRDefault="009047E1" w:rsidP="009047E1">
      <w:pPr>
        <w:ind w:left="709"/>
        <w:jc w:val="both"/>
        <w:rPr>
          <w:rFonts w:ascii="Arial" w:hAnsi="Arial" w:cs="Arial"/>
          <w:sz w:val="20"/>
          <w:szCs w:val="20"/>
        </w:rPr>
      </w:pPr>
    </w:p>
    <w:p w:rsidR="00D91D1F" w:rsidRPr="00C448AE" w:rsidRDefault="00B46635" w:rsidP="00B46635">
      <w:pPr>
        <w:pStyle w:val="Naslov3"/>
        <w:ind w:left="709" w:hanging="709"/>
      </w:pPr>
      <w:bookmarkStart w:id="22" w:name="_Toc456688571"/>
      <w:r>
        <w:t>4.2.1</w:t>
      </w:r>
      <w:r>
        <w:tab/>
      </w:r>
      <w:r w:rsidR="00D91D1F" w:rsidRPr="00C448AE">
        <w:t>Obnova obstoječih prog</w:t>
      </w:r>
      <w:bookmarkEnd w:id="22"/>
    </w:p>
    <w:p w:rsidR="00D91D1F" w:rsidRPr="00E564A6" w:rsidRDefault="00D91D1F" w:rsidP="009047E1">
      <w:pPr>
        <w:pStyle w:val="Odstavek"/>
        <w:spacing w:before="0"/>
        <w:ind w:firstLine="0"/>
        <w:rPr>
          <w:sz w:val="20"/>
          <w:szCs w:val="20"/>
        </w:rPr>
      </w:pPr>
      <w:r w:rsidRPr="00E564A6">
        <w:rPr>
          <w:sz w:val="20"/>
          <w:szCs w:val="20"/>
        </w:rPr>
        <w:t xml:space="preserve">Obnova obstoječih prog obsega obnavljanje oziroma ohranjanje obratovalne sposobnosti obstoječih prog na čim višji tehnični ravni in s tem zagotavljanje čim večje varnosti, zanesljivosti in racionalnosti obratovanja. Sem spadajo: </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 xml:space="preserve">remont zgornjega ustroja proge, </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 xml:space="preserve">obnova vozne mreže, </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 xml:space="preserve">obnova SV- in TK-naprav, </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obnova mostov in podpornih ter opornih zidov, gradnja izvennivojskih križanj in</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 xml:space="preserve">manjše rekonstrukcije postaj in prog. </w:t>
      </w:r>
    </w:p>
    <w:p w:rsidR="00D91D1F" w:rsidRPr="00E564A6" w:rsidRDefault="00D91D1F" w:rsidP="00BC4315">
      <w:pPr>
        <w:pStyle w:val="Odstavek"/>
        <w:ind w:firstLine="0"/>
        <w:rPr>
          <w:sz w:val="20"/>
          <w:szCs w:val="20"/>
        </w:rPr>
      </w:pPr>
      <w:r w:rsidRPr="00E564A6">
        <w:rPr>
          <w:sz w:val="20"/>
          <w:szCs w:val="20"/>
        </w:rPr>
        <w:t>Realizirana so bila naslednja dela:</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 xml:space="preserve">zagotovitev nakladalnega profila UIC – B, </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 xml:space="preserve">obnova telekomunikacijskega sistema in ŽAT central, </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v okviru posojila EBOR/EIB, v obdobju od 1994 do 1997, je bilo realiziranega 148 km remontov prog (vendar še vedno niso obnovljene vse glavne proge, regionalne pa sploh ne), zamenjanih 50 km vozne mreže in obnovljeni nekateri mostovi, podporni ter oporni zidovi in</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lastRenderedPageBreak/>
        <w:t xml:space="preserve">prav tako je ostala nerealizirana ideja, da se bodo remontna in druga dela na odsekih prog, ki se ujemajo z bodočimi progami za višje oziroma visoke hitrosti, opravljala že v skladu s tehničnimi standardi, ki veljajo za to hitrostno raven. </w:t>
      </w:r>
    </w:p>
    <w:p w:rsidR="00D91D1F" w:rsidRPr="00E564A6" w:rsidRDefault="00D91D1F" w:rsidP="00BC4315">
      <w:pPr>
        <w:pStyle w:val="Odstavek"/>
        <w:ind w:firstLine="0"/>
        <w:rPr>
          <w:sz w:val="20"/>
          <w:szCs w:val="20"/>
        </w:rPr>
      </w:pPr>
      <w:r w:rsidRPr="00E564A6">
        <w:rPr>
          <w:sz w:val="20"/>
          <w:szCs w:val="20"/>
        </w:rPr>
        <w:t>Delno realizirana so bila naslednja dela:</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 xml:space="preserve">povečanje progovne hitrosti v okvirih obstoječe osi proge, </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odprava ozkih grl (izvennivojska križanja, predori),</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zagotovitev dopustne osne obremenitve 22,5 t na vseh glavnih progah in</w:t>
      </w:r>
    </w:p>
    <w:p w:rsidR="00D91D1F"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 xml:space="preserve">zagotavljanje varnosti, zanesljivosti in racionalnosti obratovanja, </w:t>
      </w:r>
    </w:p>
    <w:p w:rsidR="009047E1" w:rsidRPr="00E564A6" w:rsidRDefault="009047E1" w:rsidP="009047E1">
      <w:pPr>
        <w:ind w:left="709"/>
        <w:jc w:val="both"/>
        <w:rPr>
          <w:rFonts w:ascii="Arial" w:hAnsi="Arial" w:cs="Arial"/>
          <w:sz w:val="20"/>
          <w:szCs w:val="20"/>
        </w:rPr>
      </w:pPr>
    </w:p>
    <w:p w:rsidR="00D91D1F" w:rsidRPr="00E564A6" w:rsidRDefault="00B46635" w:rsidP="00B46635">
      <w:pPr>
        <w:pStyle w:val="Naslov3"/>
        <w:ind w:left="709" w:hanging="709"/>
      </w:pPr>
      <w:bookmarkStart w:id="23" w:name="_Toc456688572"/>
      <w:r>
        <w:t>4.2.2</w:t>
      </w:r>
      <w:r>
        <w:tab/>
      </w:r>
      <w:r w:rsidR="00D91D1F" w:rsidRPr="00C448AE">
        <w:t>Dograditev</w:t>
      </w:r>
      <w:r w:rsidR="00D91D1F" w:rsidRPr="00E564A6">
        <w:t xml:space="preserve"> obstoječih prog, gradnja novih prog in vozlišč</w:t>
      </w:r>
      <w:bookmarkEnd w:id="23"/>
      <w:r w:rsidR="00D91D1F" w:rsidRPr="00E564A6">
        <w:t xml:space="preserve"> </w:t>
      </w:r>
    </w:p>
    <w:p w:rsidR="00D91D1F" w:rsidRPr="00E564A6" w:rsidRDefault="00D91D1F" w:rsidP="009047E1">
      <w:pPr>
        <w:pStyle w:val="Odstavek"/>
        <w:spacing w:before="0"/>
        <w:ind w:firstLine="0"/>
        <w:rPr>
          <w:sz w:val="20"/>
          <w:szCs w:val="20"/>
        </w:rPr>
      </w:pPr>
      <w:r w:rsidRPr="00E564A6">
        <w:rPr>
          <w:sz w:val="20"/>
          <w:szCs w:val="20"/>
        </w:rPr>
        <w:t xml:space="preserve">Sem uvrščamo naslednje projekte, ki so bili realizirani: </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 xml:space="preserve">gradnja nove proge za povezavo Slovenije z Madžarsko (25 km), </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 xml:space="preserve">gradnja sodobnejših sistemov telekomunikacijskih naprav, ki obenem omogočajo tudi ustrezno in nemoteno povezavo z Evropo, </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posodobitev ranžirne postaje Zalog in</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dograditev SV naprav z vgradnjo elektronskih SV naprav na odsekih, Divača–Koper, Ljubljana–Sežana in Pragersko–Murska Sobota.</w:t>
      </w:r>
    </w:p>
    <w:p w:rsidR="00D91D1F" w:rsidRPr="00E564A6" w:rsidRDefault="00D91D1F" w:rsidP="00BC4315">
      <w:pPr>
        <w:pStyle w:val="Odstavek"/>
        <w:spacing w:before="120"/>
        <w:ind w:firstLine="0"/>
        <w:rPr>
          <w:sz w:val="20"/>
          <w:szCs w:val="20"/>
        </w:rPr>
      </w:pPr>
      <w:r w:rsidRPr="00E564A6">
        <w:rPr>
          <w:sz w:val="20"/>
          <w:szCs w:val="20"/>
        </w:rPr>
        <w:t>Projekti, ki so bili delno realizirani:</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gradnja izvennivojskih križanj ceste z železnico in izvennivojskih dostopov na perone,</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gradnja sodobnejših sistemov signalnovarnostnih naprav in</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 xml:space="preserve">za bolj pospešen razvoj primestnega prometa na železnici in s tem povezanim nakupom novih voznih sredstev bi naj do leta 2000 zgradili dodatna postajališča na vpadnicah, zlasti v ljubljanski regiji. </w:t>
      </w:r>
    </w:p>
    <w:p w:rsidR="00D91D1F" w:rsidRPr="00E564A6" w:rsidRDefault="00D91D1F" w:rsidP="00BC4315">
      <w:pPr>
        <w:pStyle w:val="Odstavek"/>
        <w:spacing w:before="120"/>
        <w:ind w:firstLine="0"/>
        <w:rPr>
          <w:sz w:val="20"/>
          <w:szCs w:val="20"/>
        </w:rPr>
      </w:pPr>
      <w:r w:rsidRPr="00E564A6">
        <w:rPr>
          <w:sz w:val="20"/>
          <w:szCs w:val="20"/>
        </w:rPr>
        <w:t>Projekti, ki niso bili realizirani:</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gradnja drugega tira Koper–Divača (45,8 km) v obdobju 1998–2000,</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gradnja drugega tira Ljubljana–Jesenice (71,2 km) po letu 2005,</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 xml:space="preserve">gradnja drugega tira Maribor–Šentilj (16,5 km), </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 xml:space="preserve">gradnja telekomandne naprave na progi Sežana–Jesenice (129,8 km), </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 xml:space="preserve">elektrifikacija proge Sežana–Anhovo (56,6 km),  </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elektrifikacija proge Anhovo–Jesenice (73,2 km),</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 xml:space="preserve">gradnja ljubljanskega železniškega vozlišča v obdobju 2001–2005, </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 xml:space="preserve">gradnja potniške postaje Ljubljana, </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povezava mesta Lendave s slovenskim železniškim omrežjem po slovenskem ozemlju do leta 2000 z novo progo Beltinci–Lendava v dolžini približno 20 km in</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po letu 2005 načrtovana gradnja novih regionalnih prog, ki dopolnjujejo obstoječi železniški sistem.</w:t>
      </w:r>
    </w:p>
    <w:p w:rsidR="00C448AE" w:rsidRDefault="00C448AE" w:rsidP="00C448AE">
      <w:pPr>
        <w:pStyle w:val="Naslov3"/>
      </w:pPr>
    </w:p>
    <w:p w:rsidR="00D91D1F" w:rsidRPr="00E564A6" w:rsidRDefault="00C448AE" w:rsidP="00B46635">
      <w:pPr>
        <w:pStyle w:val="Naslov3"/>
        <w:ind w:left="709" w:hanging="709"/>
      </w:pPr>
      <w:bookmarkStart w:id="24" w:name="_Toc456688573"/>
      <w:r>
        <w:t>4.2.3</w:t>
      </w:r>
      <w:r w:rsidR="00B46635">
        <w:tab/>
      </w:r>
      <w:r w:rsidR="00D91D1F" w:rsidRPr="00E564A6">
        <w:t>Gradnja prog za višje in visoke hitrosti</w:t>
      </w:r>
      <w:bookmarkEnd w:id="24"/>
      <w:r w:rsidR="00D91D1F" w:rsidRPr="00E564A6">
        <w:t xml:space="preserve"> </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 xml:space="preserve">nerealizirana je ostala hitra proga Trst–Ljubljana–Zagreb, v sklopu katere so bila poleg priključkov (vozlišč) glavnih prog v Ljubljani, Zidanem Mostu in koprsko-tržaškem območju, predvidena tudi stičišča v drugih točkah prepletanja hitre proge z obstoječimi posodobljenimi progami, ki bi omogočala tudi vožnje vlakov nižje stopnje in določenega dela tovornega prevoza po tej progi, </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nerealizirani sta tudi progi za hitrosti do 160 km/h, in sicer glavna proga proti Mariboru in Dunaju ter nova proga Ljubljana–Jesenice.</w:t>
      </w:r>
    </w:p>
    <w:p w:rsidR="00D91D1F"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večinoma pa je realizirana posodobitev glavne proge Pragersko–Ormož–Murska Sobota–Hodoš, za hitrosti do 160 km/h.</w:t>
      </w:r>
    </w:p>
    <w:p w:rsidR="009047E1" w:rsidRPr="00E564A6" w:rsidRDefault="009047E1" w:rsidP="009047E1">
      <w:pPr>
        <w:ind w:left="709"/>
        <w:jc w:val="both"/>
        <w:rPr>
          <w:rFonts w:ascii="Arial" w:hAnsi="Arial" w:cs="Arial"/>
          <w:sz w:val="20"/>
          <w:szCs w:val="20"/>
        </w:rPr>
      </w:pPr>
    </w:p>
    <w:p w:rsidR="00D91D1F" w:rsidRPr="00E564A6" w:rsidRDefault="00B46635" w:rsidP="00B46635">
      <w:pPr>
        <w:pStyle w:val="Naslov3"/>
        <w:ind w:left="709" w:hanging="709"/>
      </w:pPr>
      <w:bookmarkStart w:id="25" w:name="_Toc456688574"/>
      <w:r>
        <w:t>4.2.4</w:t>
      </w:r>
      <w:r>
        <w:tab/>
      </w:r>
      <w:r w:rsidR="00D91D1F" w:rsidRPr="00C448AE">
        <w:t>Zaključek</w:t>
      </w:r>
      <w:bookmarkEnd w:id="25"/>
    </w:p>
    <w:p w:rsidR="00D91D1F" w:rsidRPr="00E564A6" w:rsidRDefault="00D91D1F" w:rsidP="009047E1">
      <w:pPr>
        <w:pStyle w:val="Odstavek"/>
        <w:spacing w:before="0"/>
        <w:ind w:firstLine="0"/>
        <w:rPr>
          <w:sz w:val="20"/>
          <w:szCs w:val="20"/>
        </w:rPr>
      </w:pPr>
      <w:r w:rsidRPr="00E564A6">
        <w:rPr>
          <w:sz w:val="20"/>
          <w:szCs w:val="20"/>
        </w:rPr>
        <w:t>Po NPRSZI je bilo v obdobju od leta 1994 do 2005 predvideno vlaganje v višini 2.136 mio EUR, realizirano pa je bilo samo 316 mio EUR, kar znese 16,7 %. Za obdobje od 2006 do 2015 je bilo predvideno vlaganje v višini 3.174 mio EUR, dejansko realiziranih vlaganj je bilo za 1.429 mio EUR oz. 43,9 %.</w:t>
      </w:r>
    </w:p>
    <w:p w:rsidR="00D91D1F" w:rsidRPr="00E564A6" w:rsidRDefault="00D91D1F" w:rsidP="00D91D1F">
      <w:pPr>
        <w:pStyle w:val="Odstavek"/>
        <w:spacing w:before="120"/>
        <w:ind w:firstLine="0"/>
        <w:rPr>
          <w:sz w:val="20"/>
          <w:szCs w:val="20"/>
        </w:rPr>
      </w:pPr>
      <w:r w:rsidRPr="00E564A6">
        <w:rPr>
          <w:sz w:val="20"/>
          <w:szCs w:val="20"/>
        </w:rPr>
        <w:t>Odstotek realizacije celotnega obdobja NPRSZI, od leta 1994 do leta 2015, znaša 29,1 %.</w:t>
      </w:r>
    </w:p>
    <w:p w:rsidR="001B0A14" w:rsidRDefault="00D91D1F" w:rsidP="00E706C0">
      <w:pPr>
        <w:pStyle w:val="Odstavek"/>
        <w:spacing w:before="120"/>
        <w:ind w:firstLine="0"/>
      </w:pPr>
      <w:r w:rsidRPr="00E564A6">
        <w:rPr>
          <w:sz w:val="20"/>
          <w:szCs w:val="20"/>
        </w:rPr>
        <w:t>Zato je nujen sprejem novega Nacionalnega programa za to področje, saj so projekti, ki niso bili realizirani v NPRSZI, večinoma vključeni vanj, v odvisnosti od vsebine ukrepov, predvidenih s Strategijo razvoja prometa v Republiki Sloveniji.</w:t>
      </w:r>
    </w:p>
    <w:p w:rsidR="00D91D1F" w:rsidRPr="00BC4315" w:rsidRDefault="00E706C0" w:rsidP="00E706C0">
      <w:pPr>
        <w:pStyle w:val="Naslov2"/>
        <w:ind w:left="567" w:hanging="567"/>
      </w:pPr>
      <w:bookmarkStart w:id="26" w:name="_Toc456688575"/>
      <w:r>
        <w:lastRenderedPageBreak/>
        <w:t>4.3</w:t>
      </w:r>
      <w:r>
        <w:tab/>
      </w:r>
      <w:r w:rsidR="00D91D1F" w:rsidRPr="00BC4315">
        <w:t>Poročilo o realizaciji Nacionalnega programa izgradnje avtocest v Republiki Sloveniji (NPIA)</w:t>
      </w:r>
      <w:bookmarkEnd w:id="26"/>
    </w:p>
    <w:p w:rsidR="009047E1" w:rsidRDefault="009047E1" w:rsidP="007A7C23">
      <w:pPr>
        <w:jc w:val="both"/>
        <w:rPr>
          <w:rFonts w:ascii="Arial" w:hAnsi="Arial" w:cs="Arial"/>
          <w:sz w:val="20"/>
          <w:szCs w:val="20"/>
        </w:rPr>
      </w:pPr>
    </w:p>
    <w:p w:rsidR="007A7C23" w:rsidRPr="00E564A6" w:rsidRDefault="007A7C23" w:rsidP="007A7C23">
      <w:pPr>
        <w:jc w:val="both"/>
        <w:rPr>
          <w:rFonts w:ascii="Arial" w:hAnsi="Arial" w:cs="Arial"/>
          <w:sz w:val="20"/>
          <w:szCs w:val="20"/>
        </w:rPr>
      </w:pPr>
      <w:r w:rsidRPr="00E564A6">
        <w:rPr>
          <w:rFonts w:ascii="Arial" w:hAnsi="Arial" w:cs="Arial"/>
          <w:sz w:val="20"/>
          <w:szCs w:val="20"/>
        </w:rPr>
        <w:t>Nacionalni program izgradnje avtocest v Republiki Sloveniji (NPIA) je sprejel Državni zbor Republike Slovenije z namenom zagotoviti ustrezne notranje povezave države, izboljšati prometno varnost, zagotoviti povezave s širšim evropskim prostorom in spodbuditi gospodarski razvoj (strateški cilji) ter zagotoviti in povečati neposredne ekonomske učinke, zmanjšati negativne prometne vplive na okolje, omogočiti širše gospodarske, socialne in turistične koristi in ohranjati že zgrajeno avtocestno omrežje (strukturni cilji). NPIA je bil objavljen</w:t>
      </w:r>
      <w:r>
        <w:rPr>
          <w:rFonts w:ascii="Arial" w:hAnsi="Arial" w:cs="Arial"/>
          <w:sz w:val="20"/>
          <w:szCs w:val="20"/>
        </w:rPr>
        <w:t xml:space="preserve"> dne</w:t>
      </w:r>
      <w:r w:rsidRPr="00E564A6">
        <w:rPr>
          <w:rFonts w:ascii="Arial" w:hAnsi="Arial" w:cs="Arial"/>
          <w:sz w:val="20"/>
          <w:szCs w:val="20"/>
        </w:rPr>
        <w:t xml:space="preserve"> 15. 11. 1995</w:t>
      </w:r>
      <w:r>
        <w:rPr>
          <w:rFonts w:ascii="Arial" w:hAnsi="Arial" w:cs="Arial"/>
          <w:sz w:val="20"/>
          <w:szCs w:val="20"/>
        </w:rPr>
        <w:t xml:space="preserve"> v Uradnem listu RS, št. 13/96</w:t>
      </w:r>
      <w:r w:rsidRPr="00E564A6">
        <w:rPr>
          <w:rFonts w:ascii="Arial" w:hAnsi="Arial" w:cs="Arial"/>
          <w:sz w:val="20"/>
          <w:szCs w:val="20"/>
        </w:rPr>
        <w:t xml:space="preserve"> (Uradni list RS št. 13/96), Spremembe in dopolnitve nacionalnega programa izgradnje avtocest (t.i. "rebalans'') </w:t>
      </w:r>
      <w:r>
        <w:rPr>
          <w:rFonts w:ascii="Arial" w:hAnsi="Arial" w:cs="Arial"/>
          <w:sz w:val="20"/>
          <w:szCs w:val="20"/>
        </w:rPr>
        <w:t xml:space="preserve"> dne </w:t>
      </w:r>
      <w:r w:rsidRPr="00E564A6">
        <w:rPr>
          <w:rFonts w:ascii="Arial" w:hAnsi="Arial" w:cs="Arial"/>
          <w:sz w:val="20"/>
          <w:szCs w:val="20"/>
        </w:rPr>
        <w:t>23. 4. 1998</w:t>
      </w:r>
      <w:r>
        <w:rPr>
          <w:rFonts w:ascii="Arial" w:hAnsi="Arial" w:cs="Arial"/>
          <w:sz w:val="20"/>
          <w:szCs w:val="20"/>
        </w:rPr>
        <w:t xml:space="preserve"> v Uradnem listu RS, št. 41/98,</w:t>
      </w:r>
      <w:r w:rsidRPr="00E564A6">
        <w:rPr>
          <w:rFonts w:ascii="Arial" w:hAnsi="Arial" w:cs="Arial"/>
          <w:sz w:val="20"/>
          <w:szCs w:val="20"/>
        </w:rPr>
        <w:t xml:space="preserve"> (Uradni list RS št. 41/98), Resolucija o </w:t>
      </w:r>
      <w:r>
        <w:rPr>
          <w:rFonts w:ascii="Arial" w:hAnsi="Arial" w:cs="Arial"/>
          <w:sz w:val="20"/>
          <w:szCs w:val="20"/>
        </w:rPr>
        <w:t>N</w:t>
      </w:r>
      <w:r w:rsidRPr="00E564A6">
        <w:rPr>
          <w:rFonts w:ascii="Arial" w:hAnsi="Arial" w:cs="Arial"/>
          <w:sz w:val="20"/>
          <w:szCs w:val="20"/>
        </w:rPr>
        <w:t xml:space="preserve">acionalnem programu izgradnje avtocest pa </w:t>
      </w:r>
      <w:r>
        <w:rPr>
          <w:rFonts w:ascii="Arial" w:hAnsi="Arial" w:cs="Arial"/>
          <w:sz w:val="20"/>
          <w:szCs w:val="20"/>
        </w:rPr>
        <w:t xml:space="preserve">dne </w:t>
      </w:r>
      <w:r w:rsidRPr="00E564A6">
        <w:rPr>
          <w:rFonts w:ascii="Arial" w:hAnsi="Arial" w:cs="Arial"/>
          <w:sz w:val="20"/>
          <w:szCs w:val="20"/>
        </w:rPr>
        <w:t>27.2.2004</w:t>
      </w:r>
      <w:r>
        <w:rPr>
          <w:rFonts w:ascii="Arial" w:hAnsi="Arial" w:cs="Arial"/>
          <w:sz w:val="20"/>
          <w:szCs w:val="20"/>
        </w:rPr>
        <w:t xml:space="preserve"> v</w:t>
      </w:r>
      <w:r w:rsidRPr="00E564A6">
        <w:rPr>
          <w:rFonts w:ascii="Arial" w:hAnsi="Arial" w:cs="Arial"/>
          <w:sz w:val="20"/>
          <w:szCs w:val="20"/>
        </w:rPr>
        <w:t xml:space="preserve"> (Uradn</w:t>
      </w:r>
      <w:r>
        <w:rPr>
          <w:rFonts w:ascii="Arial" w:hAnsi="Arial" w:cs="Arial"/>
          <w:sz w:val="20"/>
          <w:szCs w:val="20"/>
        </w:rPr>
        <w:t>em</w:t>
      </w:r>
      <w:r w:rsidRPr="00E564A6">
        <w:rPr>
          <w:rFonts w:ascii="Arial" w:hAnsi="Arial" w:cs="Arial"/>
          <w:sz w:val="20"/>
          <w:szCs w:val="20"/>
        </w:rPr>
        <w:t xml:space="preserve"> list</w:t>
      </w:r>
      <w:r>
        <w:rPr>
          <w:rFonts w:ascii="Arial" w:hAnsi="Arial" w:cs="Arial"/>
          <w:sz w:val="20"/>
          <w:szCs w:val="20"/>
        </w:rPr>
        <w:t>u</w:t>
      </w:r>
      <w:r w:rsidRPr="00E564A6">
        <w:rPr>
          <w:rFonts w:ascii="Arial" w:hAnsi="Arial" w:cs="Arial"/>
          <w:sz w:val="20"/>
          <w:szCs w:val="20"/>
        </w:rPr>
        <w:t xml:space="preserve"> št. 50/04). Program predvideva izgradnjo manjkajočih avtocest in cest ustreznega standarda v dveh osnovnih smereh:</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v smeri severovzhod–jugozahod od Šentilja na slovensko-avstrijski meji do Kopra (Mednarodni mejni prehod Luka Koper) z odcepi do slovensko-italijanske meje pri Fernetičih in Vrtojbi ter slovensko-madžarske meje pri Pincah in Dolgi vasi, od Maribora proti Gruškovju na slovensko-hrvaški meji ter Postojne/Divače do Jelšan na slovensko-hrvaški meji;</w:t>
      </w:r>
    </w:p>
    <w:p w:rsidR="00D91D1F" w:rsidRPr="00E564A6" w:rsidRDefault="00D91D1F" w:rsidP="000050AF">
      <w:pPr>
        <w:numPr>
          <w:ilvl w:val="0"/>
          <w:numId w:val="11"/>
        </w:numPr>
        <w:ind w:left="426" w:hanging="349"/>
        <w:jc w:val="both"/>
        <w:rPr>
          <w:rFonts w:ascii="Arial" w:hAnsi="Arial" w:cs="Arial"/>
          <w:sz w:val="20"/>
          <w:szCs w:val="20"/>
        </w:rPr>
      </w:pPr>
      <w:r w:rsidRPr="00E564A6">
        <w:rPr>
          <w:rFonts w:ascii="Arial" w:hAnsi="Arial" w:cs="Arial"/>
          <w:sz w:val="20"/>
          <w:szCs w:val="20"/>
        </w:rPr>
        <w:t>v smeri severozahod-jugovzhod od predora Karavanke na slovensko - avstrijski meji do Obrežja na slovensko-hrvaški meji.</w:t>
      </w:r>
    </w:p>
    <w:p w:rsidR="00D91D1F" w:rsidRPr="00E564A6" w:rsidRDefault="00D91D1F" w:rsidP="00D91D1F">
      <w:pPr>
        <w:jc w:val="both"/>
        <w:rPr>
          <w:rFonts w:ascii="Arial" w:hAnsi="Arial" w:cs="Arial"/>
          <w:sz w:val="20"/>
          <w:szCs w:val="20"/>
        </w:rPr>
      </w:pPr>
    </w:p>
    <w:p w:rsidR="00D91D1F" w:rsidRDefault="00D91D1F" w:rsidP="00D91D1F">
      <w:pPr>
        <w:jc w:val="both"/>
        <w:rPr>
          <w:rFonts w:ascii="Arial" w:hAnsi="Arial" w:cs="Arial"/>
          <w:sz w:val="20"/>
          <w:szCs w:val="20"/>
        </w:rPr>
      </w:pPr>
      <w:r w:rsidRPr="00E564A6">
        <w:rPr>
          <w:rFonts w:ascii="Arial" w:hAnsi="Arial" w:cs="Arial"/>
          <w:sz w:val="20"/>
          <w:szCs w:val="20"/>
        </w:rPr>
        <w:t xml:space="preserve">Realizacija nacionalnega programa je vključevala obsežne, zahtevne in dolgotrajne postopke prostorskega umeščanja, izdelavo projektov, odkupe zemljišč, gradnjo in ostalih aktivnosti, ki spadajo v investicije povezane s cestno in prometno infrastrukturo. </w:t>
      </w:r>
    </w:p>
    <w:p w:rsidR="00E564A6" w:rsidRPr="00E564A6" w:rsidRDefault="00E564A6"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 xml:space="preserve">Tabela </w:t>
      </w:r>
      <w:r w:rsidR="00C448AE">
        <w:rPr>
          <w:rFonts w:ascii="Arial" w:hAnsi="Arial" w:cs="Arial"/>
          <w:noProof/>
          <w:sz w:val="20"/>
          <w:szCs w:val="20"/>
        </w:rPr>
        <w:t>4</w:t>
      </w:r>
      <w:r w:rsidRPr="00E564A6">
        <w:rPr>
          <w:rFonts w:ascii="Arial" w:hAnsi="Arial" w:cs="Arial"/>
          <w:sz w:val="20"/>
          <w:szCs w:val="20"/>
        </w:rPr>
        <w:noBreakHyphen/>
        <w:t>2</w:t>
      </w:r>
      <w:r w:rsidRPr="00E564A6">
        <w:rPr>
          <w:rFonts w:ascii="Arial" w:hAnsi="Arial" w:cs="Arial"/>
          <w:sz w:val="20"/>
          <w:szCs w:val="20"/>
          <w:lang w:eastAsia="sl-SI"/>
        </w:rPr>
        <w:t>:</w:t>
      </w:r>
      <w:r w:rsidRPr="00E564A6">
        <w:rPr>
          <w:rFonts w:ascii="Arial" w:hAnsi="Arial" w:cs="Arial"/>
          <w:sz w:val="20"/>
          <w:szCs w:val="20"/>
        </w:rPr>
        <w:t xml:space="preserve"> Osnovni program - investicije DARS v AC in HC, ki so bile sestavni del NPIA</w:t>
      </w:r>
    </w:p>
    <w:tbl>
      <w:tblPr>
        <w:tblW w:w="9087" w:type="dxa"/>
        <w:tblInd w:w="55" w:type="dxa"/>
        <w:tblCellMar>
          <w:left w:w="70" w:type="dxa"/>
          <w:right w:w="70" w:type="dxa"/>
        </w:tblCellMar>
        <w:tblLook w:val="04A0" w:firstRow="1" w:lastRow="0" w:firstColumn="1" w:lastColumn="0" w:noHBand="0" w:noVBand="1"/>
      </w:tblPr>
      <w:tblGrid>
        <w:gridCol w:w="3245"/>
        <w:gridCol w:w="1911"/>
        <w:gridCol w:w="1703"/>
        <w:gridCol w:w="2228"/>
      </w:tblGrid>
      <w:tr w:rsidR="00D91D1F" w:rsidRPr="00D91D1F" w:rsidTr="00BF1663">
        <w:trPr>
          <w:trHeight w:val="527"/>
        </w:trPr>
        <w:tc>
          <w:tcPr>
            <w:tcW w:w="3245" w:type="dxa"/>
            <w:tcBorders>
              <w:top w:val="single" w:sz="4" w:space="0" w:color="auto"/>
              <w:left w:val="single" w:sz="4" w:space="0" w:color="auto"/>
              <w:bottom w:val="single" w:sz="4" w:space="0" w:color="auto"/>
              <w:right w:val="single" w:sz="4" w:space="0" w:color="auto"/>
            </w:tcBorders>
            <w:shd w:val="clear" w:color="auto" w:fill="auto"/>
            <w:vAlign w:val="center"/>
          </w:tcPr>
          <w:p w:rsidR="00D91D1F" w:rsidRPr="00D91D1F" w:rsidRDefault="00D91D1F" w:rsidP="00BF1663">
            <w:pPr>
              <w:suppressAutoHyphens w:val="0"/>
              <w:jc w:val="both"/>
              <w:rPr>
                <w:rFonts w:ascii="Arial" w:hAnsi="Arial" w:cs="Arial"/>
                <w:b/>
                <w:bCs/>
                <w:color w:val="000000"/>
                <w:sz w:val="18"/>
                <w:szCs w:val="16"/>
                <w:lang w:eastAsia="sl-SI"/>
              </w:rPr>
            </w:pPr>
            <w:r w:rsidRPr="00D91D1F">
              <w:rPr>
                <w:rFonts w:ascii="Arial" w:hAnsi="Arial" w:cs="Arial"/>
                <w:b/>
                <w:bCs/>
                <w:color w:val="000000"/>
                <w:sz w:val="18"/>
                <w:szCs w:val="16"/>
                <w:lang w:eastAsia="sl-SI"/>
              </w:rPr>
              <w:t>Krak AC/HC</w:t>
            </w:r>
          </w:p>
        </w:tc>
        <w:tc>
          <w:tcPr>
            <w:tcW w:w="1911" w:type="dxa"/>
            <w:tcBorders>
              <w:top w:val="single" w:sz="4" w:space="0" w:color="auto"/>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b/>
                <w:bCs/>
                <w:color w:val="000000"/>
                <w:sz w:val="18"/>
                <w:szCs w:val="16"/>
                <w:lang w:eastAsia="sl-SI"/>
              </w:rPr>
            </w:pPr>
            <w:r w:rsidRPr="00D91D1F">
              <w:rPr>
                <w:rFonts w:ascii="Arial" w:hAnsi="Arial" w:cs="Arial"/>
                <w:b/>
                <w:bCs/>
                <w:color w:val="000000"/>
                <w:sz w:val="18"/>
                <w:szCs w:val="16"/>
                <w:lang w:eastAsia="sl-SI"/>
              </w:rPr>
              <w:t>Dolžina po ReNPIA</w:t>
            </w:r>
          </w:p>
        </w:tc>
        <w:tc>
          <w:tcPr>
            <w:tcW w:w="1703" w:type="dxa"/>
            <w:tcBorders>
              <w:top w:val="single" w:sz="4" w:space="0" w:color="auto"/>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b/>
                <w:bCs/>
                <w:color w:val="000000"/>
                <w:sz w:val="18"/>
                <w:szCs w:val="16"/>
                <w:lang w:eastAsia="sl-SI"/>
              </w:rPr>
            </w:pPr>
            <w:r w:rsidRPr="00D91D1F">
              <w:rPr>
                <w:rFonts w:ascii="Arial" w:hAnsi="Arial" w:cs="Arial"/>
                <w:b/>
                <w:bCs/>
                <w:color w:val="000000"/>
                <w:sz w:val="18"/>
                <w:szCs w:val="16"/>
                <w:lang w:eastAsia="sl-SI"/>
              </w:rPr>
              <w:t>Dejanska dolžina</w:t>
            </w:r>
          </w:p>
        </w:tc>
        <w:tc>
          <w:tcPr>
            <w:tcW w:w="2228" w:type="dxa"/>
            <w:tcBorders>
              <w:top w:val="single" w:sz="4" w:space="0" w:color="auto"/>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b/>
                <w:bCs/>
                <w:color w:val="000000"/>
                <w:sz w:val="18"/>
                <w:szCs w:val="16"/>
                <w:lang w:eastAsia="sl-SI"/>
              </w:rPr>
            </w:pPr>
            <w:r w:rsidRPr="00D91D1F">
              <w:rPr>
                <w:rFonts w:ascii="Arial" w:hAnsi="Arial" w:cs="Arial"/>
                <w:b/>
                <w:bCs/>
                <w:color w:val="000000"/>
                <w:sz w:val="18"/>
                <w:szCs w:val="16"/>
                <w:lang w:eastAsia="sl-SI"/>
              </w:rPr>
              <w:t>Realizacija (EUR)</w:t>
            </w:r>
          </w:p>
        </w:tc>
      </w:tr>
      <w:tr w:rsidR="00D91D1F" w:rsidRPr="00D91D1F" w:rsidTr="00BF1663">
        <w:trPr>
          <w:trHeight w:val="264"/>
        </w:trPr>
        <w:tc>
          <w:tcPr>
            <w:tcW w:w="3245" w:type="dxa"/>
            <w:tcBorders>
              <w:top w:val="nil"/>
              <w:left w:val="single" w:sz="4" w:space="0" w:color="auto"/>
              <w:bottom w:val="single" w:sz="4" w:space="0" w:color="auto"/>
              <w:right w:val="single" w:sz="4" w:space="0" w:color="auto"/>
            </w:tcBorders>
            <w:shd w:val="clear" w:color="auto" w:fill="auto"/>
            <w:vAlign w:val="center"/>
          </w:tcPr>
          <w:p w:rsidR="00D91D1F" w:rsidRPr="00D91D1F" w:rsidRDefault="00D91D1F" w:rsidP="00BF1663">
            <w:pPr>
              <w:suppressAutoHyphens w:val="0"/>
              <w:jc w:val="both"/>
              <w:rPr>
                <w:rFonts w:ascii="Arial" w:hAnsi="Arial" w:cs="Arial"/>
                <w:color w:val="000000"/>
                <w:sz w:val="18"/>
                <w:szCs w:val="16"/>
                <w:lang w:eastAsia="sl-SI"/>
              </w:rPr>
            </w:pPr>
            <w:r w:rsidRPr="00D91D1F">
              <w:rPr>
                <w:rFonts w:ascii="Arial" w:hAnsi="Arial" w:cs="Arial"/>
                <w:color w:val="000000"/>
                <w:sz w:val="18"/>
                <w:szCs w:val="16"/>
                <w:lang w:eastAsia="sl-SI"/>
              </w:rPr>
              <w:t xml:space="preserve">Pomurski </w:t>
            </w:r>
          </w:p>
        </w:tc>
        <w:tc>
          <w:tcPr>
            <w:tcW w:w="1911"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92,1</w:t>
            </w:r>
          </w:p>
        </w:tc>
        <w:tc>
          <w:tcPr>
            <w:tcW w:w="1703"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91,4</w:t>
            </w:r>
          </w:p>
        </w:tc>
        <w:tc>
          <w:tcPr>
            <w:tcW w:w="2228"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870.948.066,35</w:t>
            </w:r>
          </w:p>
        </w:tc>
      </w:tr>
      <w:tr w:rsidR="00D91D1F" w:rsidRPr="00D91D1F" w:rsidTr="00BF1663">
        <w:trPr>
          <w:trHeight w:val="264"/>
        </w:trPr>
        <w:tc>
          <w:tcPr>
            <w:tcW w:w="3245" w:type="dxa"/>
            <w:tcBorders>
              <w:top w:val="nil"/>
              <w:left w:val="single" w:sz="4" w:space="0" w:color="auto"/>
              <w:bottom w:val="single" w:sz="4" w:space="0" w:color="auto"/>
              <w:right w:val="single" w:sz="4" w:space="0" w:color="auto"/>
            </w:tcBorders>
            <w:shd w:val="clear" w:color="auto" w:fill="auto"/>
            <w:vAlign w:val="center"/>
          </w:tcPr>
          <w:p w:rsidR="00D91D1F" w:rsidRPr="00D91D1F" w:rsidRDefault="00D91D1F" w:rsidP="00BF1663">
            <w:pPr>
              <w:suppressAutoHyphens w:val="0"/>
              <w:jc w:val="both"/>
              <w:rPr>
                <w:rFonts w:ascii="Arial" w:hAnsi="Arial" w:cs="Arial"/>
                <w:color w:val="000000"/>
                <w:sz w:val="18"/>
                <w:szCs w:val="16"/>
                <w:lang w:eastAsia="sl-SI"/>
              </w:rPr>
            </w:pPr>
            <w:r w:rsidRPr="00D91D1F">
              <w:rPr>
                <w:rFonts w:ascii="Arial" w:hAnsi="Arial" w:cs="Arial"/>
                <w:color w:val="000000"/>
                <w:sz w:val="18"/>
                <w:szCs w:val="16"/>
                <w:lang w:eastAsia="sl-SI"/>
              </w:rPr>
              <w:t>Štajerski</w:t>
            </w:r>
          </w:p>
        </w:tc>
        <w:tc>
          <w:tcPr>
            <w:tcW w:w="1911"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163,7</w:t>
            </w:r>
          </w:p>
        </w:tc>
        <w:tc>
          <w:tcPr>
            <w:tcW w:w="1703"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163</w:t>
            </w:r>
          </w:p>
        </w:tc>
        <w:tc>
          <w:tcPr>
            <w:tcW w:w="2228"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1.586.507.202,79</w:t>
            </w:r>
          </w:p>
        </w:tc>
      </w:tr>
      <w:tr w:rsidR="00D91D1F" w:rsidRPr="00D91D1F" w:rsidTr="00BF1663">
        <w:trPr>
          <w:trHeight w:val="264"/>
        </w:trPr>
        <w:tc>
          <w:tcPr>
            <w:tcW w:w="3245" w:type="dxa"/>
            <w:tcBorders>
              <w:top w:val="nil"/>
              <w:left w:val="single" w:sz="4" w:space="0" w:color="auto"/>
              <w:bottom w:val="single" w:sz="4" w:space="0" w:color="auto"/>
              <w:right w:val="single" w:sz="4" w:space="0" w:color="auto"/>
            </w:tcBorders>
            <w:shd w:val="clear" w:color="auto" w:fill="auto"/>
            <w:vAlign w:val="center"/>
          </w:tcPr>
          <w:p w:rsidR="00D91D1F" w:rsidRPr="00D91D1F" w:rsidRDefault="00D91D1F" w:rsidP="00BF1663">
            <w:pPr>
              <w:suppressAutoHyphens w:val="0"/>
              <w:jc w:val="both"/>
              <w:rPr>
                <w:rFonts w:ascii="Arial" w:hAnsi="Arial" w:cs="Arial"/>
                <w:color w:val="000000"/>
                <w:sz w:val="18"/>
                <w:szCs w:val="16"/>
                <w:lang w:eastAsia="sl-SI"/>
              </w:rPr>
            </w:pPr>
            <w:r w:rsidRPr="00D91D1F">
              <w:rPr>
                <w:rFonts w:ascii="Arial" w:hAnsi="Arial" w:cs="Arial"/>
                <w:color w:val="000000"/>
                <w:sz w:val="18"/>
                <w:szCs w:val="16"/>
                <w:lang w:eastAsia="sl-SI"/>
              </w:rPr>
              <w:t>Primorski</w:t>
            </w:r>
          </w:p>
        </w:tc>
        <w:tc>
          <w:tcPr>
            <w:tcW w:w="1911"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64,3</w:t>
            </w:r>
          </w:p>
        </w:tc>
        <w:tc>
          <w:tcPr>
            <w:tcW w:w="1703"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73,7</w:t>
            </w:r>
          </w:p>
        </w:tc>
        <w:tc>
          <w:tcPr>
            <w:tcW w:w="2228"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770.949.782,88</w:t>
            </w:r>
          </w:p>
        </w:tc>
      </w:tr>
      <w:tr w:rsidR="00D91D1F" w:rsidRPr="00D91D1F" w:rsidTr="00BF1663">
        <w:trPr>
          <w:trHeight w:val="264"/>
        </w:trPr>
        <w:tc>
          <w:tcPr>
            <w:tcW w:w="3245" w:type="dxa"/>
            <w:tcBorders>
              <w:top w:val="nil"/>
              <w:left w:val="single" w:sz="4" w:space="0" w:color="auto"/>
              <w:bottom w:val="single" w:sz="4" w:space="0" w:color="auto"/>
              <w:right w:val="single" w:sz="4" w:space="0" w:color="auto"/>
            </w:tcBorders>
            <w:shd w:val="clear" w:color="auto" w:fill="auto"/>
            <w:vAlign w:val="center"/>
          </w:tcPr>
          <w:p w:rsidR="00D91D1F" w:rsidRPr="00D91D1F" w:rsidRDefault="00D91D1F" w:rsidP="00BF1663">
            <w:pPr>
              <w:suppressAutoHyphens w:val="0"/>
              <w:jc w:val="both"/>
              <w:rPr>
                <w:rFonts w:ascii="Arial" w:hAnsi="Arial" w:cs="Arial"/>
                <w:color w:val="000000"/>
                <w:sz w:val="18"/>
                <w:szCs w:val="16"/>
                <w:lang w:eastAsia="sl-SI"/>
              </w:rPr>
            </w:pPr>
            <w:r w:rsidRPr="00D91D1F">
              <w:rPr>
                <w:rFonts w:ascii="Arial" w:hAnsi="Arial" w:cs="Arial"/>
                <w:color w:val="000000"/>
                <w:sz w:val="18"/>
                <w:szCs w:val="16"/>
                <w:lang w:eastAsia="sl-SI"/>
              </w:rPr>
              <w:t>Vipavski</w:t>
            </w:r>
          </w:p>
        </w:tc>
        <w:tc>
          <w:tcPr>
            <w:tcW w:w="1911"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39,1</w:t>
            </w:r>
          </w:p>
        </w:tc>
        <w:tc>
          <w:tcPr>
            <w:tcW w:w="1703"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40,4</w:t>
            </w:r>
          </w:p>
        </w:tc>
        <w:tc>
          <w:tcPr>
            <w:tcW w:w="2228"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378.325.839,44</w:t>
            </w:r>
          </w:p>
        </w:tc>
      </w:tr>
      <w:tr w:rsidR="00D91D1F" w:rsidRPr="00D91D1F" w:rsidTr="00BF1663">
        <w:trPr>
          <w:trHeight w:val="264"/>
        </w:trPr>
        <w:tc>
          <w:tcPr>
            <w:tcW w:w="3245" w:type="dxa"/>
            <w:tcBorders>
              <w:top w:val="nil"/>
              <w:left w:val="single" w:sz="4" w:space="0" w:color="auto"/>
              <w:bottom w:val="single" w:sz="4" w:space="0" w:color="auto"/>
              <w:right w:val="single" w:sz="4" w:space="0" w:color="auto"/>
            </w:tcBorders>
            <w:shd w:val="clear" w:color="auto" w:fill="auto"/>
            <w:vAlign w:val="center"/>
          </w:tcPr>
          <w:p w:rsidR="00D91D1F" w:rsidRPr="00D91D1F" w:rsidRDefault="00D91D1F" w:rsidP="00BF1663">
            <w:pPr>
              <w:suppressAutoHyphens w:val="0"/>
              <w:jc w:val="both"/>
              <w:rPr>
                <w:rFonts w:ascii="Arial" w:hAnsi="Arial" w:cs="Arial"/>
                <w:color w:val="000000"/>
                <w:sz w:val="18"/>
                <w:szCs w:val="16"/>
                <w:lang w:eastAsia="sl-SI"/>
              </w:rPr>
            </w:pPr>
            <w:r w:rsidRPr="00D91D1F">
              <w:rPr>
                <w:rFonts w:ascii="Arial" w:hAnsi="Arial" w:cs="Arial"/>
                <w:color w:val="000000"/>
                <w:sz w:val="18"/>
                <w:szCs w:val="16"/>
                <w:lang w:eastAsia="sl-SI"/>
              </w:rPr>
              <w:t>Gorenjski</w:t>
            </w:r>
          </w:p>
        </w:tc>
        <w:tc>
          <w:tcPr>
            <w:tcW w:w="1911"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31,1</w:t>
            </w:r>
          </w:p>
        </w:tc>
        <w:tc>
          <w:tcPr>
            <w:tcW w:w="1703"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33,9</w:t>
            </w:r>
          </w:p>
        </w:tc>
        <w:tc>
          <w:tcPr>
            <w:tcW w:w="2228"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494.306.281,68</w:t>
            </w:r>
          </w:p>
        </w:tc>
      </w:tr>
      <w:tr w:rsidR="00D91D1F" w:rsidRPr="00D91D1F" w:rsidTr="00BF1663">
        <w:trPr>
          <w:trHeight w:val="264"/>
        </w:trPr>
        <w:tc>
          <w:tcPr>
            <w:tcW w:w="3245" w:type="dxa"/>
            <w:tcBorders>
              <w:top w:val="nil"/>
              <w:left w:val="single" w:sz="4" w:space="0" w:color="auto"/>
              <w:bottom w:val="single" w:sz="4" w:space="0" w:color="auto"/>
              <w:right w:val="single" w:sz="4" w:space="0" w:color="auto"/>
            </w:tcBorders>
            <w:shd w:val="clear" w:color="auto" w:fill="auto"/>
            <w:vAlign w:val="center"/>
          </w:tcPr>
          <w:p w:rsidR="00D91D1F" w:rsidRPr="00D91D1F" w:rsidRDefault="00D91D1F" w:rsidP="00BF1663">
            <w:pPr>
              <w:suppressAutoHyphens w:val="0"/>
              <w:jc w:val="both"/>
              <w:rPr>
                <w:rFonts w:ascii="Arial" w:hAnsi="Arial" w:cs="Arial"/>
                <w:color w:val="000000"/>
                <w:sz w:val="18"/>
                <w:szCs w:val="16"/>
                <w:lang w:eastAsia="sl-SI"/>
              </w:rPr>
            </w:pPr>
            <w:r w:rsidRPr="00D91D1F">
              <w:rPr>
                <w:rFonts w:ascii="Arial" w:hAnsi="Arial" w:cs="Arial"/>
                <w:color w:val="000000"/>
                <w:sz w:val="18"/>
                <w:szCs w:val="16"/>
                <w:lang w:eastAsia="sl-SI"/>
              </w:rPr>
              <w:t>Dolenjski</w:t>
            </w:r>
          </w:p>
        </w:tc>
        <w:tc>
          <w:tcPr>
            <w:tcW w:w="1911"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86,1</w:t>
            </w:r>
          </w:p>
        </w:tc>
        <w:tc>
          <w:tcPr>
            <w:tcW w:w="1703"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86,2</w:t>
            </w:r>
          </w:p>
        </w:tc>
        <w:tc>
          <w:tcPr>
            <w:tcW w:w="2228"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842.132.859,27</w:t>
            </w:r>
          </w:p>
        </w:tc>
      </w:tr>
      <w:tr w:rsidR="00D91D1F" w:rsidRPr="00D91D1F" w:rsidTr="00BF1663">
        <w:trPr>
          <w:trHeight w:val="264"/>
        </w:trPr>
        <w:tc>
          <w:tcPr>
            <w:tcW w:w="3245" w:type="dxa"/>
            <w:tcBorders>
              <w:top w:val="nil"/>
              <w:left w:val="single" w:sz="4" w:space="0" w:color="auto"/>
              <w:bottom w:val="single" w:sz="4" w:space="0" w:color="auto"/>
              <w:right w:val="single" w:sz="4" w:space="0" w:color="auto"/>
            </w:tcBorders>
            <w:shd w:val="clear" w:color="auto" w:fill="auto"/>
            <w:vAlign w:val="center"/>
          </w:tcPr>
          <w:p w:rsidR="00D91D1F" w:rsidRPr="00D91D1F" w:rsidRDefault="00D91D1F" w:rsidP="00BF1663">
            <w:pPr>
              <w:suppressAutoHyphens w:val="0"/>
              <w:jc w:val="both"/>
              <w:rPr>
                <w:rFonts w:ascii="Arial" w:hAnsi="Arial" w:cs="Arial"/>
                <w:color w:val="000000"/>
                <w:sz w:val="18"/>
                <w:szCs w:val="16"/>
                <w:lang w:eastAsia="sl-SI"/>
              </w:rPr>
            </w:pPr>
            <w:r w:rsidRPr="00D91D1F">
              <w:rPr>
                <w:rFonts w:ascii="Arial" w:hAnsi="Arial" w:cs="Arial"/>
                <w:color w:val="000000"/>
                <w:sz w:val="18"/>
                <w:szCs w:val="16"/>
                <w:lang w:eastAsia="sl-SI"/>
              </w:rPr>
              <w:t>Podravski</w:t>
            </w:r>
          </w:p>
        </w:tc>
        <w:tc>
          <w:tcPr>
            <w:tcW w:w="1911"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56,1</w:t>
            </w:r>
          </w:p>
        </w:tc>
        <w:tc>
          <w:tcPr>
            <w:tcW w:w="1703"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57,8</w:t>
            </w:r>
          </w:p>
        </w:tc>
        <w:tc>
          <w:tcPr>
            <w:tcW w:w="2228"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311.562.351,05</w:t>
            </w:r>
          </w:p>
        </w:tc>
      </w:tr>
      <w:tr w:rsidR="00D91D1F" w:rsidRPr="00D91D1F" w:rsidTr="00BF1663">
        <w:trPr>
          <w:trHeight w:val="264"/>
        </w:trPr>
        <w:tc>
          <w:tcPr>
            <w:tcW w:w="3245" w:type="dxa"/>
            <w:tcBorders>
              <w:top w:val="nil"/>
              <w:left w:val="single" w:sz="4" w:space="0" w:color="auto"/>
              <w:bottom w:val="single" w:sz="4" w:space="0" w:color="auto"/>
              <w:right w:val="single" w:sz="4" w:space="0" w:color="auto"/>
            </w:tcBorders>
            <w:shd w:val="clear" w:color="auto" w:fill="auto"/>
            <w:vAlign w:val="center"/>
          </w:tcPr>
          <w:p w:rsidR="00D91D1F" w:rsidRPr="00D91D1F" w:rsidRDefault="00D91D1F" w:rsidP="00BF1663">
            <w:pPr>
              <w:suppressAutoHyphens w:val="0"/>
              <w:jc w:val="both"/>
              <w:rPr>
                <w:rFonts w:ascii="Arial" w:hAnsi="Arial" w:cs="Arial"/>
                <w:color w:val="000000"/>
                <w:sz w:val="18"/>
                <w:szCs w:val="16"/>
                <w:lang w:eastAsia="sl-SI"/>
              </w:rPr>
            </w:pPr>
            <w:r w:rsidRPr="00D91D1F">
              <w:rPr>
                <w:rFonts w:ascii="Arial" w:hAnsi="Arial" w:cs="Arial"/>
                <w:color w:val="000000"/>
                <w:sz w:val="18"/>
                <w:szCs w:val="16"/>
                <w:lang w:eastAsia="sl-SI"/>
              </w:rPr>
              <w:t>Navezovalne ceste po NPIA</w:t>
            </w:r>
          </w:p>
        </w:tc>
        <w:tc>
          <w:tcPr>
            <w:tcW w:w="1911"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34</w:t>
            </w:r>
          </w:p>
        </w:tc>
        <w:tc>
          <w:tcPr>
            <w:tcW w:w="1703"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34,7</w:t>
            </w:r>
          </w:p>
        </w:tc>
        <w:tc>
          <w:tcPr>
            <w:tcW w:w="2228"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104.677.912,38</w:t>
            </w:r>
          </w:p>
        </w:tc>
      </w:tr>
      <w:tr w:rsidR="00D91D1F" w:rsidRPr="00D91D1F" w:rsidTr="00BF1663">
        <w:trPr>
          <w:trHeight w:val="264"/>
        </w:trPr>
        <w:tc>
          <w:tcPr>
            <w:tcW w:w="908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D91D1F" w:rsidRPr="00D91D1F" w:rsidRDefault="00D91D1F" w:rsidP="00BF1663">
            <w:pPr>
              <w:suppressAutoHyphens w:val="0"/>
              <w:rPr>
                <w:rFonts w:ascii="Arial" w:hAnsi="Arial" w:cs="Arial"/>
                <w:color w:val="000000"/>
                <w:sz w:val="18"/>
                <w:szCs w:val="16"/>
                <w:lang w:eastAsia="sl-SI"/>
              </w:rPr>
            </w:pPr>
            <w:r w:rsidRPr="00D91D1F">
              <w:rPr>
                <w:rFonts w:ascii="Arial" w:hAnsi="Arial" w:cs="Arial"/>
                <w:color w:val="000000"/>
                <w:sz w:val="18"/>
                <w:szCs w:val="16"/>
                <w:lang w:eastAsia="sl-SI"/>
              </w:rPr>
              <w:t>Ostale investicije</w:t>
            </w:r>
          </w:p>
        </w:tc>
      </w:tr>
      <w:tr w:rsidR="00D91D1F" w:rsidRPr="00D91D1F" w:rsidTr="00BF1663">
        <w:trPr>
          <w:trHeight w:val="527"/>
        </w:trPr>
        <w:tc>
          <w:tcPr>
            <w:tcW w:w="3245" w:type="dxa"/>
            <w:tcBorders>
              <w:top w:val="nil"/>
              <w:left w:val="single" w:sz="4" w:space="0" w:color="auto"/>
              <w:bottom w:val="single" w:sz="4" w:space="0" w:color="auto"/>
              <w:right w:val="single" w:sz="4" w:space="0" w:color="auto"/>
            </w:tcBorders>
            <w:shd w:val="clear" w:color="auto" w:fill="auto"/>
            <w:vAlign w:val="center"/>
          </w:tcPr>
          <w:p w:rsidR="00D91D1F" w:rsidRPr="00D91D1F" w:rsidRDefault="00D91D1F" w:rsidP="00BF1663">
            <w:pPr>
              <w:suppressAutoHyphens w:val="0"/>
              <w:rPr>
                <w:rFonts w:ascii="Arial" w:hAnsi="Arial" w:cs="Arial"/>
                <w:color w:val="000000"/>
                <w:sz w:val="18"/>
                <w:szCs w:val="16"/>
                <w:lang w:eastAsia="sl-SI"/>
              </w:rPr>
            </w:pPr>
            <w:r w:rsidRPr="00D91D1F">
              <w:rPr>
                <w:rFonts w:ascii="Arial" w:hAnsi="Arial" w:cs="Arial"/>
                <w:color w:val="000000"/>
                <w:sz w:val="18"/>
                <w:szCs w:val="16"/>
                <w:lang w:eastAsia="sl-SI"/>
              </w:rPr>
              <w:t>po NPIA (AC, HC - zgrajene pred letom 1994)</w:t>
            </w:r>
          </w:p>
        </w:tc>
        <w:tc>
          <w:tcPr>
            <w:tcW w:w="1911"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 </w:t>
            </w:r>
          </w:p>
        </w:tc>
        <w:tc>
          <w:tcPr>
            <w:tcW w:w="1703"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 </w:t>
            </w:r>
          </w:p>
        </w:tc>
        <w:tc>
          <w:tcPr>
            <w:tcW w:w="2228"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34.246.696,05</w:t>
            </w:r>
          </w:p>
        </w:tc>
      </w:tr>
      <w:tr w:rsidR="00D91D1F" w:rsidRPr="00D91D1F" w:rsidTr="00BF1663">
        <w:trPr>
          <w:trHeight w:val="791"/>
        </w:trPr>
        <w:tc>
          <w:tcPr>
            <w:tcW w:w="3245" w:type="dxa"/>
            <w:tcBorders>
              <w:top w:val="nil"/>
              <w:left w:val="single" w:sz="4" w:space="0" w:color="auto"/>
              <w:bottom w:val="single" w:sz="4" w:space="0" w:color="auto"/>
              <w:right w:val="single" w:sz="4" w:space="0" w:color="auto"/>
            </w:tcBorders>
            <w:shd w:val="clear" w:color="auto" w:fill="auto"/>
            <w:vAlign w:val="center"/>
          </w:tcPr>
          <w:p w:rsidR="00D91D1F" w:rsidRPr="00D91D1F" w:rsidRDefault="00D91D1F" w:rsidP="00BF1663">
            <w:pPr>
              <w:suppressAutoHyphens w:val="0"/>
              <w:rPr>
                <w:rFonts w:ascii="Arial" w:hAnsi="Arial" w:cs="Arial"/>
                <w:color w:val="000000"/>
                <w:sz w:val="18"/>
                <w:szCs w:val="16"/>
                <w:lang w:eastAsia="sl-SI"/>
              </w:rPr>
            </w:pPr>
            <w:r w:rsidRPr="00D91D1F">
              <w:rPr>
                <w:rFonts w:ascii="Arial" w:hAnsi="Arial" w:cs="Arial"/>
                <w:color w:val="000000"/>
                <w:sz w:val="18"/>
                <w:szCs w:val="16"/>
                <w:lang w:eastAsia="sl-SI"/>
              </w:rPr>
              <w:t>Ostale investicije na AC in HC (dodatne CP, priključki, območja MMP, ECS, rehabilitacija DC</w:t>
            </w:r>
          </w:p>
        </w:tc>
        <w:tc>
          <w:tcPr>
            <w:tcW w:w="1911"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 </w:t>
            </w:r>
          </w:p>
        </w:tc>
        <w:tc>
          <w:tcPr>
            <w:tcW w:w="1703"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 </w:t>
            </w:r>
          </w:p>
        </w:tc>
        <w:tc>
          <w:tcPr>
            <w:tcW w:w="2228"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9.516.686,89</w:t>
            </w:r>
          </w:p>
        </w:tc>
      </w:tr>
      <w:tr w:rsidR="00D91D1F" w:rsidRPr="00D91D1F" w:rsidTr="00BF1663">
        <w:trPr>
          <w:trHeight w:val="264"/>
        </w:trPr>
        <w:tc>
          <w:tcPr>
            <w:tcW w:w="3245" w:type="dxa"/>
            <w:tcBorders>
              <w:top w:val="nil"/>
              <w:left w:val="single" w:sz="4" w:space="0" w:color="auto"/>
              <w:bottom w:val="single" w:sz="4" w:space="0" w:color="auto"/>
              <w:right w:val="single" w:sz="4" w:space="0" w:color="auto"/>
            </w:tcBorders>
            <w:shd w:val="clear" w:color="auto" w:fill="auto"/>
            <w:vAlign w:val="center"/>
          </w:tcPr>
          <w:p w:rsidR="00D91D1F" w:rsidRPr="00D91D1F" w:rsidRDefault="00D91D1F" w:rsidP="00BF1663">
            <w:pPr>
              <w:suppressAutoHyphens w:val="0"/>
              <w:jc w:val="both"/>
              <w:rPr>
                <w:rFonts w:ascii="Arial" w:hAnsi="Arial" w:cs="Arial"/>
                <w:b/>
                <w:bCs/>
                <w:color w:val="000000"/>
                <w:sz w:val="18"/>
                <w:szCs w:val="16"/>
                <w:lang w:eastAsia="sl-SI"/>
              </w:rPr>
            </w:pPr>
            <w:r w:rsidRPr="00D91D1F">
              <w:rPr>
                <w:rFonts w:ascii="Arial" w:hAnsi="Arial" w:cs="Arial"/>
                <w:b/>
                <w:bCs/>
                <w:color w:val="000000"/>
                <w:sz w:val="18"/>
                <w:szCs w:val="16"/>
                <w:lang w:eastAsia="sl-SI"/>
              </w:rPr>
              <w:t>Skupaj</w:t>
            </w:r>
          </w:p>
        </w:tc>
        <w:tc>
          <w:tcPr>
            <w:tcW w:w="1911"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b/>
                <w:bCs/>
                <w:color w:val="000000"/>
                <w:sz w:val="18"/>
                <w:szCs w:val="16"/>
                <w:lang w:eastAsia="sl-SI"/>
              </w:rPr>
            </w:pPr>
            <w:r w:rsidRPr="00D91D1F">
              <w:rPr>
                <w:rFonts w:ascii="Arial" w:hAnsi="Arial" w:cs="Arial"/>
                <w:b/>
                <w:bCs/>
                <w:color w:val="000000"/>
                <w:sz w:val="18"/>
                <w:szCs w:val="16"/>
                <w:lang w:eastAsia="sl-SI"/>
              </w:rPr>
              <w:t>566,5</w:t>
            </w:r>
          </w:p>
        </w:tc>
        <w:tc>
          <w:tcPr>
            <w:tcW w:w="1703"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b/>
                <w:bCs/>
                <w:color w:val="000000"/>
                <w:sz w:val="18"/>
                <w:szCs w:val="16"/>
                <w:lang w:eastAsia="sl-SI"/>
              </w:rPr>
            </w:pPr>
            <w:r w:rsidRPr="00D91D1F">
              <w:rPr>
                <w:rFonts w:ascii="Arial" w:hAnsi="Arial" w:cs="Arial"/>
                <w:b/>
                <w:bCs/>
                <w:color w:val="000000"/>
                <w:sz w:val="18"/>
                <w:szCs w:val="16"/>
                <w:lang w:eastAsia="sl-SI"/>
              </w:rPr>
              <w:t>581,1</w:t>
            </w:r>
          </w:p>
        </w:tc>
        <w:tc>
          <w:tcPr>
            <w:tcW w:w="2228" w:type="dxa"/>
            <w:tcBorders>
              <w:top w:val="nil"/>
              <w:left w:val="nil"/>
              <w:bottom w:val="single" w:sz="4" w:space="0" w:color="auto"/>
              <w:right w:val="single" w:sz="4" w:space="0" w:color="auto"/>
            </w:tcBorders>
            <w:shd w:val="clear" w:color="auto" w:fill="auto"/>
            <w:vAlign w:val="center"/>
          </w:tcPr>
          <w:p w:rsidR="00D91D1F" w:rsidRPr="00D91D1F" w:rsidRDefault="00D91D1F" w:rsidP="00BF1663">
            <w:pPr>
              <w:suppressAutoHyphens w:val="0"/>
              <w:jc w:val="center"/>
              <w:rPr>
                <w:rFonts w:ascii="Arial" w:hAnsi="Arial" w:cs="Arial"/>
                <w:b/>
                <w:bCs/>
                <w:color w:val="000000"/>
                <w:sz w:val="18"/>
                <w:szCs w:val="16"/>
                <w:lang w:eastAsia="sl-SI"/>
              </w:rPr>
            </w:pPr>
            <w:r w:rsidRPr="00D91D1F">
              <w:rPr>
                <w:rFonts w:ascii="Arial" w:hAnsi="Arial" w:cs="Arial"/>
                <w:b/>
                <w:bCs/>
                <w:color w:val="000000"/>
                <w:sz w:val="18"/>
                <w:szCs w:val="16"/>
                <w:lang w:eastAsia="sl-SI"/>
              </w:rPr>
              <w:t>5.403.173.678,78</w:t>
            </w:r>
          </w:p>
        </w:tc>
      </w:tr>
    </w:tbl>
    <w:p w:rsidR="00D91D1F" w:rsidRPr="00D91D1F" w:rsidRDefault="00D91D1F" w:rsidP="00D91D1F">
      <w:pPr>
        <w:jc w:val="both"/>
        <w:rPr>
          <w:rFonts w:ascii="Arial" w:hAnsi="Arial" w:cs="Arial"/>
        </w:rPr>
      </w:pPr>
    </w:p>
    <w:p w:rsidR="00D91D1F" w:rsidRPr="00D91D1F" w:rsidRDefault="00D91D1F" w:rsidP="00D91D1F">
      <w:pPr>
        <w:jc w:val="both"/>
        <w:rPr>
          <w:rFonts w:ascii="Arial" w:hAnsi="Arial" w:cs="Arial"/>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 xml:space="preserve">Tabela </w:t>
      </w:r>
      <w:r w:rsidR="00936357">
        <w:rPr>
          <w:rFonts w:ascii="Arial" w:hAnsi="Arial" w:cs="Arial"/>
          <w:noProof/>
          <w:sz w:val="20"/>
          <w:szCs w:val="20"/>
        </w:rPr>
        <w:t>4</w:t>
      </w:r>
      <w:r w:rsidRPr="00E564A6">
        <w:rPr>
          <w:rFonts w:ascii="Arial" w:hAnsi="Arial" w:cs="Arial"/>
          <w:sz w:val="20"/>
          <w:szCs w:val="20"/>
        </w:rPr>
        <w:noBreakHyphen/>
      </w:r>
      <w:r w:rsidR="009047E1">
        <w:rPr>
          <w:rFonts w:ascii="Arial" w:hAnsi="Arial" w:cs="Arial"/>
          <w:sz w:val="20"/>
          <w:szCs w:val="20"/>
        </w:rPr>
        <w:t>3</w:t>
      </w:r>
      <w:r w:rsidRPr="00E564A6">
        <w:rPr>
          <w:rFonts w:ascii="Arial" w:hAnsi="Arial" w:cs="Arial"/>
          <w:sz w:val="20"/>
          <w:szCs w:val="20"/>
          <w:lang w:eastAsia="sl-SI"/>
        </w:rPr>
        <w:t>:</w:t>
      </w:r>
      <w:r w:rsidRPr="00E564A6">
        <w:rPr>
          <w:rFonts w:ascii="Arial" w:hAnsi="Arial" w:cs="Arial"/>
          <w:sz w:val="20"/>
          <w:szCs w:val="20"/>
        </w:rPr>
        <w:t xml:space="preserve">  Dodatni program - investicije DARS v AC in HC, ki niso bile sestavni del NPIA</w:t>
      </w:r>
    </w:p>
    <w:tbl>
      <w:tblPr>
        <w:tblW w:w="9087" w:type="dxa"/>
        <w:tblInd w:w="55" w:type="dxa"/>
        <w:tblCellMar>
          <w:left w:w="70" w:type="dxa"/>
          <w:right w:w="70" w:type="dxa"/>
        </w:tblCellMar>
        <w:tblLook w:val="04A0" w:firstRow="1" w:lastRow="0" w:firstColumn="1" w:lastColumn="0" w:noHBand="0" w:noVBand="1"/>
      </w:tblPr>
      <w:tblGrid>
        <w:gridCol w:w="5304"/>
        <w:gridCol w:w="3783"/>
      </w:tblGrid>
      <w:tr w:rsidR="00D91D1F" w:rsidRPr="00D91D1F" w:rsidTr="00BF1663">
        <w:trPr>
          <w:trHeight w:val="289"/>
        </w:trPr>
        <w:tc>
          <w:tcPr>
            <w:tcW w:w="5304" w:type="dxa"/>
            <w:tcBorders>
              <w:top w:val="single" w:sz="4" w:space="0" w:color="auto"/>
              <w:left w:val="single" w:sz="4" w:space="0" w:color="auto"/>
              <w:bottom w:val="single" w:sz="4" w:space="0" w:color="auto"/>
              <w:right w:val="single" w:sz="4" w:space="0" w:color="auto"/>
            </w:tcBorders>
            <w:shd w:val="clear" w:color="auto" w:fill="auto"/>
            <w:noWrap/>
            <w:vAlign w:val="center"/>
          </w:tcPr>
          <w:p w:rsidR="00D91D1F" w:rsidRPr="00D91D1F" w:rsidRDefault="00D91D1F" w:rsidP="00BF1663">
            <w:pPr>
              <w:suppressAutoHyphens w:val="0"/>
              <w:jc w:val="both"/>
              <w:rPr>
                <w:rFonts w:ascii="Arial" w:hAnsi="Arial" w:cs="Arial"/>
                <w:b/>
                <w:bCs/>
                <w:color w:val="000000"/>
                <w:sz w:val="18"/>
                <w:szCs w:val="16"/>
                <w:lang w:eastAsia="sl-SI"/>
              </w:rPr>
            </w:pPr>
            <w:r w:rsidRPr="00D91D1F">
              <w:rPr>
                <w:rFonts w:ascii="Arial" w:hAnsi="Arial" w:cs="Arial"/>
                <w:b/>
                <w:bCs/>
                <w:color w:val="000000"/>
                <w:sz w:val="18"/>
                <w:szCs w:val="16"/>
                <w:lang w:eastAsia="sl-SI"/>
              </w:rPr>
              <w:t>Krak AC/HC</w:t>
            </w:r>
          </w:p>
        </w:tc>
        <w:tc>
          <w:tcPr>
            <w:tcW w:w="3783" w:type="dxa"/>
            <w:tcBorders>
              <w:top w:val="single" w:sz="4" w:space="0" w:color="auto"/>
              <w:left w:val="nil"/>
              <w:bottom w:val="single" w:sz="4" w:space="0" w:color="auto"/>
              <w:right w:val="single" w:sz="4" w:space="0" w:color="auto"/>
            </w:tcBorders>
            <w:shd w:val="clear" w:color="auto" w:fill="auto"/>
            <w:noWrap/>
            <w:vAlign w:val="center"/>
          </w:tcPr>
          <w:p w:rsidR="00D91D1F" w:rsidRPr="00D91D1F" w:rsidRDefault="00D91D1F" w:rsidP="00BF1663">
            <w:pPr>
              <w:suppressAutoHyphens w:val="0"/>
              <w:jc w:val="center"/>
              <w:rPr>
                <w:rFonts w:ascii="Arial" w:hAnsi="Arial" w:cs="Arial"/>
                <w:b/>
                <w:bCs/>
                <w:color w:val="000000"/>
                <w:sz w:val="18"/>
                <w:szCs w:val="16"/>
                <w:lang w:eastAsia="sl-SI"/>
              </w:rPr>
            </w:pPr>
            <w:r w:rsidRPr="00D91D1F">
              <w:rPr>
                <w:rFonts w:ascii="Arial" w:hAnsi="Arial" w:cs="Arial"/>
                <w:b/>
                <w:bCs/>
                <w:color w:val="000000"/>
                <w:sz w:val="18"/>
                <w:szCs w:val="16"/>
                <w:lang w:eastAsia="sl-SI"/>
              </w:rPr>
              <w:t>Realizacija (EUR)</w:t>
            </w:r>
          </w:p>
        </w:tc>
      </w:tr>
      <w:tr w:rsidR="00D91D1F" w:rsidRPr="00D91D1F" w:rsidTr="00BF1663">
        <w:trPr>
          <w:trHeight w:val="289"/>
        </w:trPr>
        <w:tc>
          <w:tcPr>
            <w:tcW w:w="5304" w:type="dxa"/>
            <w:tcBorders>
              <w:top w:val="nil"/>
              <w:left w:val="single" w:sz="4" w:space="0" w:color="auto"/>
              <w:bottom w:val="single" w:sz="4" w:space="0" w:color="auto"/>
              <w:right w:val="single" w:sz="4" w:space="0" w:color="auto"/>
            </w:tcBorders>
            <w:shd w:val="clear" w:color="auto" w:fill="auto"/>
            <w:noWrap/>
            <w:vAlign w:val="center"/>
          </w:tcPr>
          <w:p w:rsidR="00D91D1F" w:rsidRPr="00D91D1F" w:rsidRDefault="00D91D1F" w:rsidP="00BF1663">
            <w:pPr>
              <w:suppressAutoHyphens w:val="0"/>
              <w:jc w:val="both"/>
              <w:rPr>
                <w:rFonts w:ascii="Arial" w:hAnsi="Arial" w:cs="Arial"/>
                <w:color w:val="000000"/>
                <w:sz w:val="18"/>
                <w:szCs w:val="16"/>
                <w:lang w:eastAsia="sl-SI"/>
              </w:rPr>
            </w:pPr>
            <w:r w:rsidRPr="00D91D1F">
              <w:rPr>
                <w:rFonts w:ascii="Arial" w:hAnsi="Arial" w:cs="Arial"/>
                <w:color w:val="000000"/>
                <w:sz w:val="18"/>
                <w:szCs w:val="16"/>
                <w:lang w:eastAsia="sl-SI"/>
              </w:rPr>
              <w:t>Štajerski</w:t>
            </w:r>
          </w:p>
        </w:tc>
        <w:tc>
          <w:tcPr>
            <w:tcW w:w="3783" w:type="dxa"/>
            <w:tcBorders>
              <w:top w:val="nil"/>
              <w:left w:val="nil"/>
              <w:bottom w:val="single" w:sz="4" w:space="0" w:color="auto"/>
              <w:right w:val="single" w:sz="4" w:space="0" w:color="auto"/>
            </w:tcBorders>
            <w:shd w:val="clear" w:color="auto" w:fill="auto"/>
            <w:noWrap/>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9.020.166,47</w:t>
            </w:r>
          </w:p>
        </w:tc>
      </w:tr>
      <w:tr w:rsidR="00D91D1F" w:rsidRPr="00D91D1F" w:rsidTr="00BF1663">
        <w:trPr>
          <w:trHeight w:val="289"/>
        </w:trPr>
        <w:tc>
          <w:tcPr>
            <w:tcW w:w="5304" w:type="dxa"/>
            <w:tcBorders>
              <w:top w:val="nil"/>
              <w:left w:val="single" w:sz="4" w:space="0" w:color="auto"/>
              <w:bottom w:val="single" w:sz="4" w:space="0" w:color="auto"/>
              <w:right w:val="single" w:sz="4" w:space="0" w:color="auto"/>
            </w:tcBorders>
            <w:shd w:val="clear" w:color="auto" w:fill="auto"/>
            <w:noWrap/>
            <w:vAlign w:val="center"/>
          </w:tcPr>
          <w:p w:rsidR="00D91D1F" w:rsidRPr="00D91D1F" w:rsidRDefault="00D91D1F" w:rsidP="00BF1663">
            <w:pPr>
              <w:suppressAutoHyphens w:val="0"/>
              <w:jc w:val="both"/>
              <w:rPr>
                <w:rFonts w:ascii="Arial" w:hAnsi="Arial" w:cs="Arial"/>
                <w:color w:val="000000"/>
                <w:sz w:val="18"/>
                <w:szCs w:val="16"/>
                <w:lang w:eastAsia="sl-SI"/>
              </w:rPr>
            </w:pPr>
            <w:r w:rsidRPr="00D91D1F">
              <w:rPr>
                <w:rFonts w:ascii="Arial" w:hAnsi="Arial" w:cs="Arial"/>
                <w:color w:val="000000"/>
                <w:sz w:val="18"/>
                <w:szCs w:val="16"/>
                <w:lang w:eastAsia="sl-SI"/>
              </w:rPr>
              <w:t>Primorski</w:t>
            </w:r>
          </w:p>
        </w:tc>
        <w:tc>
          <w:tcPr>
            <w:tcW w:w="3783" w:type="dxa"/>
            <w:tcBorders>
              <w:top w:val="nil"/>
              <w:left w:val="nil"/>
              <w:bottom w:val="single" w:sz="4" w:space="0" w:color="auto"/>
              <w:right w:val="single" w:sz="4" w:space="0" w:color="auto"/>
            </w:tcBorders>
            <w:shd w:val="clear" w:color="auto" w:fill="auto"/>
            <w:noWrap/>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3.163.646,36</w:t>
            </w:r>
          </w:p>
        </w:tc>
      </w:tr>
      <w:tr w:rsidR="00D91D1F" w:rsidRPr="00D91D1F" w:rsidTr="00BF1663">
        <w:trPr>
          <w:trHeight w:val="289"/>
        </w:trPr>
        <w:tc>
          <w:tcPr>
            <w:tcW w:w="5304" w:type="dxa"/>
            <w:tcBorders>
              <w:top w:val="nil"/>
              <w:left w:val="single" w:sz="4" w:space="0" w:color="auto"/>
              <w:bottom w:val="single" w:sz="4" w:space="0" w:color="auto"/>
              <w:right w:val="single" w:sz="4" w:space="0" w:color="auto"/>
            </w:tcBorders>
            <w:shd w:val="clear" w:color="auto" w:fill="auto"/>
            <w:noWrap/>
            <w:vAlign w:val="center"/>
          </w:tcPr>
          <w:p w:rsidR="00D91D1F" w:rsidRPr="00D91D1F" w:rsidRDefault="00D91D1F" w:rsidP="00BF1663">
            <w:pPr>
              <w:suppressAutoHyphens w:val="0"/>
              <w:jc w:val="both"/>
              <w:rPr>
                <w:rFonts w:ascii="Arial" w:hAnsi="Arial" w:cs="Arial"/>
                <w:color w:val="000000"/>
                <w:sz w:val="18"/>
                <w:szCs w:val="16"/>
                <w:lang w:eastAsia="sl-SI"/>
              </w:rPr>
            </w:pPr>
            <w:r w:rsidRPr="00D91D1F">
              <w:rPr>
                <w:rFonts w:ascii="Arial" w:hAnsi="Arial" w:cs="Arial"/>
                <w:color w:val="000000"/>
                <w:sz w:val="18"/>
                <w:szCs w:val="16"/>
                <w:lang w:eastAsia="sl-SI"/>
              </w:rPr>
              <w:t>Gorenjski</w:t>
            </w:r>
          </w:p>
        </w:tc>
        <w:tc>
          <w:tcPr>
            <w:tcW w:w="3783" w:type="dxa"/>
            <w:tcBorders>
              <w:top w:val="nil"/>
              <w:left w:val="nil"/>
              <w:bottom w:val="single" w:sz="4" w:space="0" w:color="auto"/>
              <w:right w:val="single" w:sz="4" w:space="0" w:color="auto"/>
            </w:tcBorders>
            <w:shd w:val="clear" w:color="auto" w:fill="auto"/>
            <w:noWrap/>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453.159,77</w:t>
            </w:r>
          </w:p>
        </w:tc>
      </w:tr>
      <w:tr w:rsidR="00D91D1F" w:rsidRPr="00D91D1F" w:rsidTr="00BF1663">
        <w:trPr>
          <w:trHeight w:val="289"/>
        </w:trPr>
        <w:tc>
          <w:tcPr>
            <w:tcW w:w="5304" w:type="dxa"/>
            <w:tcBorders>
              <w:top w:val="nil"/>
              <w:left w:val="single" w:sz="4" w:space="0" w:color="auto"/>
              <w:bottom w:val="single" w:sz="4" w:space="0" w:color="auto"/>
              <w:right w:val="single" w:sz="4" w:space="0" w:color="auto"/>
            </w:tcBorders>
            <w:shd w:val="clear" w:color="auto" w:fill="auto"/>
            <w:noWrap/>
            <w:vAlign w:val="center"/>
          </w:tcPr>
          <w:p w:rsidR="00D91D1F" w:rsidRPr="00D91D1F" w:rsidRDefault="00D91D1F" w:rsidP="00BF1663">
            <w:pPr>
              <w:suppressAutoHyphens w:val="0"/>
              <w:jc w:val="both"/>
              <w:rPr>
                <w:rFonts w:ascii="Arial" w:hAnsi="Arial" w:cs="Arial"/>
                <w:color w:val="000000"/>
                <w:sz w:val="18"/>
                <w:szCs w:val="16"/>
                <w:lang w:eastAsia="sl-SI"/>
              </w:rPr>
            </w:pPr>
            <w:r w:rsidRPr="00D91D1F">
              <w:rPr>
                <w:rFonts w:ascii="Arial" w:hAnsi="Arial" w:cs="Arial"/>
                <w:color w:val="000000"/>
                <w:sz w:val="18"/>
                <w:szCs w:val="16"/>
                <w:lang w:eastAsia="sl-SI"/>
              </w:rPr>
              <w:t>Dolenjski</w:t>
            </w:r>
          </w:p>
        </w:tc>
        <w:tc>
          <w:tcPr>
            <w:tcW w:w="3783" w:type="dxa"/>
            <w:tcBorders>
              <w:top w:val="nil"/>
              <w:left w:val="nil"/>
              <w:bottom w:val="single" w:sz="4" w:space="0" w:color="auto"/>
              <w:right w:val="single" w:sz="4" w:space="0" w:color="auto"/>
            </w:tcBorders>
            <w:shd w:val="clear" w:color="auto" w:fill="auto"/>
            <w:noWrap/>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6.762,75</w:t>
            </w:r>
          </w:p>
        </w:tc>
      </w:tr>
      <w:tr w:rsidR="00D91D1F" w:rsidRPr="00D91D1F" w:rsidTr="00BF1663">
        <w:trPr>
          <w:trHeight w:val="289"/>
        </w:trPr>
        <w:tc>
          <w:tcPr>
            <w:tcW w:w="5304" w:type="dxa"/>
            <w:tcBorders>
              <w:top w:val="nil"/>
              <w:left w:val="single" w:sz="4" w:space="0" w:color="auto"/>
              <w:bottom w:val="single" w:sz="4" w:space="0" w:color="auto"/>
              <w:right w:val="single" w:sz="4" w:space="0" w:color="auto"/>
            </w:tcBorders>
            <w:shd w:val="clear" w:color="auto" w:fill="auto"/>
            <w:noWrap/>
            <w:vAlign w:val="center"/>
          </w:tcPr>
          <w:p w:rsidR="00D91D1F" w:rsidRPr="00D91D1F" w:rsidRDefault="00D91D1F" w:rsidP="00BF1663">
            <w:pPr>
              <w:suppressAutoHyphens w:val="0"/>
              <w:jc w:val="both"/>
              <w:rPr>
                <w:rFonts w:ascii="Arial" w:hAnsi="Arial" w:cs="Arial"/>
                <w:color w:val="000000"/>
                <w:sz w:val="18"/>
                <w:szCs w:val="16"/>
                <w:lang w:eastAsia="sl-SI"/>
              </w:rPr>
            </w:pPr>
            <w:r w:rsidRPr="00D91D1F">
              <w:rPr>
                <w:rFonts w:ascii="Arial" w:hAnsi="Arial" w:cs="Arial"/>
                <w:color w:val="000000"/>
                <w:sz w:val="18"/>
                <w:szCs w:val="16"/>
                <w:lang w:eastAsia="sl-SI"/>
              </w:rPr>
              <w:t>Podravski</w:t>
            </w:r>
          </w:p>
        </w:tc>
        <w:tc>
          <w:tcPr>
            <w:tcW w:w="3783" w:type="dxa"/>
            <w:tcBorders>
              <w:top w:val="nil"/>
              <w:left w:val="nil"/>
              <w:bottom w:val="single" w:sz="4" w:space="0" w:color="auto"/>
              <w:right w:val="single" w:sz="4" w:space="0" w:color="auto"/>
            </w:tcBorders>
            <w:shd w:val="clear" w:color="auto" w:fill="auto"/>
            <w:noWrap/>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36.386.760,83</w:t>
            </w:r>
          </w:p>
        </w:tc>
      </w:tr>
      <w:tr w:rsidR="00D91D1F" w:rsidRPr="00D91D1F" w:rsidTr="00BF1663">
        <w:trPr>
          <w:trHeight w:val="289"/>
        </w:trPr>
        <w:tc>
          <w:tcPr>
            <w:tcW w:w="5304" w:type="dxa"/>
            <w:tcBorders>
              <w:top w:val="nil"/>
              <w:left w:val="single" w:sz="4" w:space="0" w:color="auto"/>
              <w:bottom w:val="single" w:sz="4" w:space="0" w:color="auto"/>
              <w:right w:val="single" w:sz="4" w:space="0" w:color="auto"/>
            </w:tcBorders>
            <w:shd w:val="clear" w:color="auto" w:fill="auto"/>
            <w:vAlign w:val="center"/>
          </w:tcPr>
          <w:p w:rsidR="00D91D1F" w:rsidRPr="00D91D1F" w:rsidRDefault="00D91D1F" w:rsidP="00BF1663">
            <w:pPr>
              <w:suppressAutoHyphens w:val="0"/>
              <w:jc w:val="both"/>
              <w:rPr>
                <w:rFonts w:ascii="Arial" w:hAnsi="Arial" w:cs="Arial"/>
                <w:color w:val="000000"/>
                <w:sz w:val="18"/>
                <w:szCs w:val="16"/>
                <w:lang w:eastAsia="sl-SI"/>
              </w:rPr>
            </w:pPr>
            <w:r w:rsidRPr="00D91D1F">
              <w:rPr>
                <w:rFonts w:ascii="Arial" w:hAnsi="Arial" w:cs="Arial"/>
                <w:color w:val="000000"/>
                <w:sz w:val="18"/>
                <w:szCs w:val="16"/>
                <w:lang w:eastAsia="sl-SI"/>
              </w:rPr>
              <w:t>Navezovalne ceste</w:t>
            </w:r>
          </w:p>
        </w:tc>
        <w:tc>
          <w:tcPr>
            <w:tcW w:w="3783" w:type="dxa"/>
            <w:tcBorders>
              <w:top w:val="nil"/>
              <w:left w:val="nil"/>
              <w:bottom w:val="single" w:sz="4" w:space="0" w:color="auto"/>
              <w:right w:val="single" w:sz="4" w:space="0" w:color="auto"/>
            </w:tcBorders>
            <w:shd w:val="clear" w:color="auto" w:fill="auto"/>
            <w:noWrap/>
            <w:vAlign w:val="center"/>
          </w:tcPr>
          <w:p w:rsidR="00D91D1F" w:rsidRPr="00D91D1F" w:rsidRDefault="00D91D1F" w:rsidP="00BF1663">
            <w:pPr>
              <w:suppressAutoHyphens w:val="0"/>
              <w:jc w:val="center"/>
              <w:rPr>
                <w:rFonts w:ascii="Arial" w:hAnsi="Arial" w:cs="Arial"/>
                <w:color w:val="000000"/>
                <w:sz w:val="18"/>
                <w:szCs w:val="16"/>
                <w:lang w:eastAsia="sl-SI"/>
              </w:rPr>
            </w:pPr>
            <w:r w:rsidRPr="00D91D1F">
              <w:rPr>
                <w:rFonts w:ascii="Arial" w:hAnsi="Arial" w:cs="Arial"/>
                <w:color w:val="000000"/>
                <w:sz w:val="18"/>
                <w:szCs w:val="16"/>
                <w:lang w:eastAsia="sl-SI"/>
              </w:rPr>
              <w:t>1.866.115,94</w:t>
            </w:r>
          </w:p>
        </w:tc>
      </w:tr>
      <w:tr w:rsidR="00D91D1F" w:rsidRPr="00D91D1F" w:rsidTr="00BF1663">
        <w:trPr>
          <w:trHeight w:val="289"/>
        </w:trPr>
        <w:tc>
          <w:tcPr>
            <w:tcW w:w="5304" w:type="dxa"/>
            <w:tcBorders>
              <w:top w:val="nil"/>
              <w:left w:val="single" w:sz="4" w:space="0" w:color="auto"/>
              <w:bottom w:val="single" w:sz="4" w:space="0" w:color="auto"/>
              <w:right w:val="single" w:sz="4" w:space="0" w:color="auto"/>
            </w:tcBorders>
            <w:shd w:val="clear" w:color="auto" w:fill="auto"/>
            <w:noWrap/>
            <w:vAlign w:val="center"/>
          </w:tcPr>
          <w:p w:rsidR="00D91D1F" w:rsidRPr="00D91D1F" w:rsidRDefault="00D91D1F" w:rsidP="00BF1663">
            <w:pPr>
              <w:suppressAutoHyphens w:val="0"/>
              <w:jc w:val="both"/>
              <w:rPr>
                <w:rFonts w:ascii="Arial" w:hAnsi="Arial" w:cs="Arial"/>
                <w:b/>
                <w:bCs/>
                <w:color w:val="000000"/>
                <w:sz w:val="18"/>
                <w:szCs w:val="16"/>
                <w:lang w:eastAsia="sl-SI"/>
              </w:rPr>
            </w:pPr>
            <w:r w:rsidRPr="00D91D1F">
              <w:rPr>
                <w:rFonts w:ascii="Arial" w:hAnsi="Arial" w:cs="Arial"/>
                <w:b/>
                <w:bCs/>
                <w:color w:val="000000"/>
                <w:sz w:val="18"/>
                <w:szCs w:val="16"/>
                <w:lang w:eastAsia="sl-SI"/>
              </w:rPr>
              <w:t>Skupaj</w:t>
            </w:r>
          </w:p>
        </w:tc>
        <w:tc>
          <w:tcPr>
            <w:tcW w:w="3783" w:type="dxa"/>
            <w:tcBorders>
              <w:top w:val="nil"/>
              <w:left w:val="nil"/>
              <w:bottom w:val="single" w:sz="4" w:space="0" w:color="auto"/>
              <w:right w:val="single" w:sz="4" w:space="0" w:color="auto"/>
            </w:tcBorders>
            <w:shd w:val="clear" w:color="auto" w:fill="auto"/>
            <w:noWrap/>
            <w:vAlign w:val="center"/>
          </w:tcPr>
          <w:p w:rsidR="00D91D1F" w:rsidRPr="00D91D1F" w:rsidRDefault="00D91D1F" w:rsidP="00BF1663">
            <w:pPr>
              <w:suppressAutoHyphens w:val="0"/>
              <w:jc w:val="center"/>
              <w:rPr>
                <w:rFonts w:ascii="Arial" w:hAnsi="Arial" w:cs="Arial"/>
                <w:b/>
                <w:bCs/>
                <w:color w:val="000000"/>
                <w:sz w:val="18"/>
                <w:szCs w:val="16"/>
                <w:lang w:eastAsia="sl-SI"/>
              </w:rPr>
            </w:pPr>
            <w:r w:rsidRPr="00D91D1F">
              <w:rPr>
                <w:rFonts w:ascii="Arial" w:hAnsi="Arial" w:cs="Arial"/>
                <w:b/>
                <w:bCs/>
                <w:color w:val="000000"/>
                <w:sz w:val="18"/>
                <w:szCs w:val="16"/>
                <w:lang w:eastAsia="sl-SI"/>
              </w:rPr>
              <w:t>50.896.612,12</w:t>
            </w:r>
          </w:p>
        </w:tc>
      </w:tr>
    </w:tbl>
    <w:p w:rsidR="00D91D1F" w:rsidRPr="00D91D1F" w:rsidRDefault="00D91D1F" w:rsidP="00D91D1F">
      <w:pPr>
        <w:jc w:val="both"/>
        <w:rPr>
          <w:rFonts w:ascii="Arial" w:hAnsi="Arial" w:cs="Arial"/>
          <w:i/>
        </w:rPr>
      </w:pPr>
    </w:p>
    <w:p w:rsidR="00D91D1F" w:rsidRPr="00E564A6" w:rsidRDefault="00D91D1F" w:rsidP="00D91D1F">
      <w:pPr>
        <w:jc w:val="both"/>
        <w:rPr>
          <w:rFonts w:ascii="Arial" w:hAnsi="Arial" w:cs="Arial"/>
          <w:sz w:val="20"/>
        </w:rPr>
      </w:pPr>
      <w:r w:rsidRPr="00E564A6">
        <w:rPr>
          <w:rFonts w:ascii="Arial" w:hAnsi="Arial" w:cs="Arial"/>
          <w:sz w:val="20"/>
        </w:rPr>
        <w:lastRenderedPageBreak/>
        <w:t xml:space="preserve">Tabela </w:t>
      </w:r>
      <w:r w:rsidR="00936357">
        <w:rPr>
          <w:rFonts w:ascii="Arial" w:hAnsi="Arial" w:cs="Arial"/>
          <w:noProof/>
          <w:sz w:val="20"/>
        </w:rPr>
        <w:t>4</w:t>
      </w:r>
      <w:r w:rsidRPr="00E564A6">
        <w:rPr>
          <w:rFonts w:ascii="Arial" w:hAnsi="Arial" w:cs="Arial"/>
          <w:sz w:val="20"/>
        </w:rPr>
        <w:noBreakHyphen/>
      </w:r>
      <w:r w:rsidR="009047E1">
        <w:rPr>
          <w:rFonts w:ascii="Arial" w:hAnsi="Arial" w:cs="Arial"/>
          <w:sz w:val="20"/>
        </w:rPr>
        <w:t>4</w:t>
      </w:r>
      <w:r w:rsidRPr="00E564A6">
        <w:rPr>
          <w:rFonts w:ascii="Arial" w:hAnsi="Arial" w:cs="Arial"/>
          <w:sz w:val="20"/>
          <w:szCs w:val="22"/>
          <w:lang w:eastAsia="sl-SI"/>
        </w:rPr>
        <w:t>:</w:t>
      </w:r>
      <w:r w:rsidRPr="00E564A6">
        <w:rPr>
          <w:rFonts w:ascii="Arial" w:hAnsi="Arial" w:cs="Arial"/>
          <w:sz w:val="20"/>
        </w:rPr>
        <w:t xml:space="preserve"> Investicije, uvedene z Letnim programom razvoja in obnov (LPRO)</w:t>
      </w:r>
    </w:p>
    <w:tbl>
      <w:tblPr>
        <w:tblW w:w="9117" w:type="dxa"/>
        <w:tblInd w:w="55" w:type="dxa"/>
        <w:tblCellMar>
          <w:left w:w="70" w:type="dxa"/>
          <w:right w:w="70" w:type="dxa"/>
        </w:tblCellMar>
        <w:tblLook w:val="04A0" w:firstRow="1" w:lastRow="0" w:firstColumn="1" w:lastColumn="0" w:noHBand="0" w:noVBand="1"/>
      </w:tblPr>
      <w:tblGrid>
        <w:gridCol w:w="6849"/>
        <w:gridCol w:w="2268"/>
      </w:tblGrid>
      <w:tr w:rsidR="00D91D1F" w:rsidRPr="00D91D1F" w:rsidTr="00BF1663">
        <w:trPr>
          <w:trHeight w:val="360"/>
        </w:trPr>
        <w:tc>
          <w:tcPr>
            <w:tcW w:w="6849" w:type="dxa"/>
            <w:tcBorders>
              <w:top w:val="single" w:sz="4" w:space="0" w:color="auto"/>
              <w:left w:val="single" w:sz="4" w:space="0" w:color="auto"/>
              <w:bottom w:val="single" w:sz="4" w:space="0" w:color="auto"/>
              <w:right w:val="single" w:sz="4" w:space="0" w:color="auto"/>
            </w:tcBorders>
            <w:shd w:val="clear" w:color="auto" w:fill="auto"/>
            <w:noWrap/>
            <w:vAlign w:val="center"/>
          </w:tcPr>
          <w:p w:rsidR="00D91D1F" w:rsidRPr="00D91D1F" w:rsidRDefault="00D91D1F" w:rsidP="00BF1663">
            <w:pPr>
              <w:suppressAutoHyphens w:val="0"/>
              <w:rPr>
                <w:rFonts w:ascii="Arial" w:hAnsi="Arial" w:cs="Arial"/>
                <w:b/>
                <w:bCs/>
                <w:color w:val="000000"/>
                <w:sz w:val="16"/>
                <w:szCs w:val="16"/>
                <w:lang w:eastAsia="sl-SI"/>
              </w:rPr>
            </w:pPr>
            <w:r w:rsidRPr="00D91D1F">
              <w:rPr>
                <w:rFonts w:ascii="Arial" w:hAnsi="Arial" w:cs="Arial"/>
                <w:b/>
                <w:bCs/>
                <w:color w:val="000000"/>
                <w:sz w:val="16"/>
                <w:szCs w:val="16"/>
                <w:lang w:eastAsia="sl-SI"/>
              </w:rPr>
              <w:t> </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D91D1F" w:rsidRPr="00D91D1F" w:rsidRDefault="00D91D1F" w:rsidP="00BF1663">
            <w:pPr>
              <w:suppressAutoHyphens w:val="0"/>
              <w:jc w:val="center"/>
              <w:rPr>
                <w:rFonts w:ascii="Arial" w:hAnsi="Arial" w:cs="Arial"/>
                <w:b/>
                <w:bCs/>
                <w:color w:val="000000"/>
                <w:sz w:val="16"/>
                <w:szCs w:val="16"/>
                <w:lang w:eastAsia="sl-SI"/>
              </w:rPr>
            </w:pPr>
            <w:r w:rsidRPr="00D91D1F">
              <w:rPr>
                <w:rFonts w:ascii="Arial" w:hAnsi="Arial" w:cs="Arial"/>
                <w:b/>
                <w:bCs/>
                <w:color w:val="000000"/>
                <w:sz w:val="16"/>
                <w:szCs w:val="16"/>
                <w:lang w:eastAsia="sl-SI"/>
              </w:rPr>
              <w:t>Realizacija (EUR)</w:t>
            </w:r>
          </w:p>
        </w:tc>
      </w:tr>
      <w:tr w:rsidR="00D91D1F" w:rsidRPr="00D91D1F" w:rsidTr="00BF1663">
        <w:trPr>
          <w:trHeight w:val="720"/>
        </w:trPr>
        <w:tc>
          <w:tcPr>
            <w:tcW w:w="6849" w:type="dxa"/>
            <w:tcBorders>
              <w:top w:val="nil"/>
              <w:left w:val="single" w:sz="4" w:space="0" w:color="auto"/>
              <w:bottom w:val="single" w:sz="4" w:space="0" w:color="auto"/>
              <w:right w:val="single" w:sz="4" w:space="0" w:color="auto"/>
            </w:tcBorders>
            <w:shd w:val="clear" w:color="auto" w:fill="auto"/>
            <w:vAlign w:val="center"/>
          </w:tcPr>
          <w:p w:rsidR="00D91D1F" w:rsidRPr="00D91D1F" w:rsidRDefault="00D91D1F" w:rsidP="00BF1663">
            <w:pPr>
              <w:suppressAutoHyphens w:val="0"/>
              <w:rPr>
                <w:rFonts w:ascii="Arial" w:hAnsi="Arial" w:cs="Arial"/>
                <w:color w:val="000000"/>
                <w:sz w:val="16"/>
                <w:szCs w:val="16"/>
                <w:lang w:eastAsia="sl-SI"/>
              </w:rPr>
            </w:pPr>
            <w:r w:rsidRPr="00D91D1F">
              <w:rPr>
                <w:rFonts w:ascii="Arial" w:hAnsi="Arial" w:cs="Arial"/>
                <w:color w:val="000000"/>
                <w:sz w:val="16"/>
                <w:szCs w:val="16"/>
                <w:lang w:eastAsia="sl-SI"/>
              </w:rPr>
              <w:t>Rehabilitacija državnih cest, ureditev počivališč za težka tovorna vozila, NCUP, sistem za nadzor in vodenje prometa, protihrupni ukrepi, ureditev kontrolirane odvodnje …</w:t>
            </w:r>
          </w:p>
        </w:tc>
        <w:tc>
          <w:tcPr>
            <w:tcW w:w="2268" w:type="dxa"/>
            <w:tcBorders>
              <w:top w:val="nil"/>
              <w:left w:val="nil"/>
              <w:bottom w:val="single" w:sz="4" w:space="0" w:color="auto"/>
              <w:right w:val="single" w:sz="4" w:space="0" w:color="auto"/>
            </w:tcBorders>
            <w:shd w:val="clear" w:color="auto" w:fill="auto"/>
            <w:noWrap/>
            <w:vAlign w:val="center"/>
          </w:tcPr>
          <w:p w:rsidR="00D91D1F" w:rsidRPr="00D91D1F" w:rsidRDefault="00D91D1F" w:rsidP="00BF1663">
            <w:pPr>
              <w:suppressAutoHyphens w:val="0"/>
              <w:jc w:val="center"/>
              <w:rPr>
                <w:rFonts w:ascii="Arial" w:hAnsi="Arial" w:cs="Arial"/>
                <w:color w:val="000000"/>
                <w:sz w:val="16"/>
                <w:szCs w:val="16"/>
                <w:lang w:eastAsia="sl-SI"/>
              </w:rPr>
            </w:pPr>
            <w:r w:rsidRPr="00D91D1F">
              <w:rPr>
                <w:rFonts w:ascii="Arial" w:hAnsi="Arial" w:cs="Arial"/>
                <w:color w:val="000000"/>
                <w:sz w:val="16"/>
                <w:szCs w:val="16"/>
                <w:lang w:eastAsia="sl-SI"/>
              </w:rPr>
              <w:t>141.100.584,83</w:t>
            </w:r>
          </w:p>
        </w:tc>
      </w:tr>
      <w:tr w:rsidR="00D91D1F" w:rsidRPr="00D91D1F" w:rsidTr="00BF1663">
        <w:trPr>
          <w:trHeight w:val="360"/>
        </w:trPr>
        <w:tc>
          <w:tcPr>
            <w:tcW w:w="6849" w:type="dxa"/>
            <w:tcBorders>
              <w:top w:val="nil"/>
              <w:left w:val="single" w:sz="4" w:space="0" w:color="auto"/>
              <w:bottom w:val="single" w:sz="4" w:space="0" w:color="auto"/>
              <w:right w:val="single" w:sz="4" w:space="0" w:color="auto"/>
            </w:tcBorders>
            <w:shd w:val="clear" w:color="auto" w:fill="auto"/>
            <w:noWrap/>
            <w:vAlign w:val="center"/>
          </w:tcPr>
          <w:p w:rsidR="00D91D1F" w:rsidRPr="00D91D1F" w:rsidRDefault="00D91D1F" w:rsidP="00BF1663">
            <w:pPr>
              <w:suppressAutoHyphens w:val="0"/>
              <w:jc w:val="both"/>
              <w:rPr>
                <w:rFonts w:ascii="Arial" w:hAnsi="Arial" w:cs="Arial"/>
                <w:b/>
                <w:bCs/>
                <w:color w:val="000000"/>
                <w:sz w:val="16"/>
                <w:szCs w:val="16"/>
                <w:lang w:eastAsia="sl-SI"/>
              </w:rPr>
            </w:pPr>
            <w:r w:rsidRPr="00D91D1F">
              <w:rPr>
                <w:rFonts w:ascii="Arial" w:hAnsi="Arial" w:cs="Arial"/>
                <w:b/>
                <w:bCs/>
                <w:color w:val="000000"/>
                <w:sz w:val="16"/>
                <w:szCs w:val="16"/>
                <w:lang w:eastAsia="sl-SI"/>
              </w:rPr>
              <w:t>Skupaj</w:t>
            </w:r>
          </w:p>
        </w:tc>
        <w:tc>
          <w:tcPr>
            <w:tcW w:w="2268" w:type="dxa"/>
            <w:tcBorders>
              <w:top w:val="nil"/>
              <w:left w:val="nil"/>
              <w:bottom w:val="single" w:sz="4" w:space="0" w:color="auto"/>
              <w:right w:val="single" w:sz="4" w:space="0" w:color="auto"/>
            </w:tcBorders>
            <w:shd w:val="clear" w:color="auto" w:fill="auto"/>
            <w:noWrap/>
            <w:vAlign w:val="center"/>
          </w:tcPr>
          <w:p w:rsidR="00D91D1F" w:rsidRPr="00D91D1F" w:rsidRDefault="00D91D1F" w:rsidP="00BF1663">
            <w:pPr>
              <w:suppressAutoHyphens w:val="0"/>
              <w:jc w:val="center"/>
              <w:rPr>
                <w:rFonts w:ascii="Arial" w:hAnsi="Arial" w:cs="Arial"/>
                <w:b/>
                <w:bCs/>
                <w:color w:val="000000"/>
                <w:sz w:val="16"/>
                <w:szCs w:val="16"/>
                <w:lang w:eastAsia="sl-SI"/>
              </w:rPr>
            </w:pPr>
            <w:r w:rsidRPr="00D91D1F">
              <w:rPr>
                <w:rFonts w:ascii="Arial" w:hAnsi="Arial" w:cs="Arial"/>
                <w:b/>
                <w:bCs/>
                <w:color w:val="000000"/>
                <w:sz w:val="16"/>
                <w:szCs w:val="16"/>
                <w:lang w:eastAsia="sl-SI"/>
              </w:rPr>
              <w:t>141.100.584,83</w:t>
            </w:r>
          </w:p>
        </w:tc>
      </w:tr>
    </w:tbl>
    <w:p w:rsidR="00D91D1F" w:rsidRPr="00D91D1F" w:rsidRDefault="00D91D1F" w:rsidP="00D91D1F">
      <w:pPr>
        <w:jc w:val="both"/>
        <w:rPr>
          <w:rFonts w:ascii="Arial" w:hAnsi="Arial" w:cs="Arial"/>
        </w:rPr>
      </w:pPr>
    </w:p>
    <w:p w:rsidR="00D91D1F" w:rsidRPr="00E564A6" w:rsidRDefault="00D91D1F" w:rsidP="00D91D1F">
      <w:pPr>
        <w:jc w:val="both"/>
        <w:rPr>
          <w:rFonts w:ascii="Arial" w:hAnsi="Arial" w:cs="Arial"/>
          <w:sz w:val="20"/>
        </w:rPr>
      </w:pPr>
      <w:r w:rsidRPr="00E564A6">
        <w:rPr>
          <w:rFonts w:ascii="Arial" w:hAnsi="Arial" w:cs="Arial"/>
          <w:sz w:val="20"/>
        </w:rPr>
        <w:t xml:space="preserve">Celotna realizacija NPIA od leta 1994 do konca leta 2014 znaša 5.595.170.875,73 EUR, v okviru katerih se je zgradilo 585,20 km AC/HC odsekov in pripadajoče prometne infrastrukture, vključno z navezovalnimi cestami. Nerealizirani projekti, tako iz osnovnega kot iz dodatnega programa, so vključeni v Nacionalni program kot investicija DARS ali DRSI, odvisno od vsebine ukrepov, predvidenih s Strategijo razvoja prometa v Republiki Sloveniji.  </w:t>
      </w:r>
    </w:p>
    <w:p w:rsidR="00D91D1F" w:rsidRDefault="00D91D1F" w:rsidP="00D91D1F">
      <w:pPr>
        <w:jc w:val="both"/>
        <w:rPr>
          <w:rFonts w:ascii="Arial" w:hAnsi="Arial" w:cs="Arial"/>
        </w:rPr>
      </w:pPr>
    </w:p>
    <w:p w:rsidR="00E564A6" w:rsidRPr="00D91D1F" w:rsidRDefault="00E564A6" w:rsidP="00D91D1F">
      <w:pPr>
        <w:jc w:val="both"/>
        <w:rPr>
          <w:rFonts w:ascii="Arial" w:hAnsi="Arial" w:cs="Arial"/>
        </w:rPr>
      </w:pPr>
    </w:p>
    <w:p w:rsidR="00D91D1F" w:rsidRPr="009047E1" w:rsidRDefault="001B0A14" w:rsidP="00E706C0">
      <w:pPr>
        <w:pStyle w:val="Naslov2"/>
        <w:ind w:left="567" w:hanging="567"/>
      </w:pPr>
      <w:bookmarkStart w:id="27" w:name="_Toc456688576"/>
      <w:r>
        <w:t>4.4</w:t>
      </w:r>
      <w:r w:rsidR="00E706C0">
        <w:tab/>
      </w:r>
      <w:r w:rsidR="00D91D1F" w:rsidRPr="009047E1">
        <w:t>Poročilo o realizaciji Resolucije o nacionalnem programu razvoja pomorstva Republike Slovenije</w:t>
      </w:r>
      <w:bookmarkEnd w:id="27"/>
      <w:r w:rsidR="00D91D1F" w:rsidRPr="009047E1">
        <w:t xml:space="preserve"> </w:t>
      </w:r>
    </w:p>
    <w:p w:rsidR="009047E1" w:rsidRDefault="009047E1" w:rsidP="00D91D1F">
      <w:pPr>
        <w:jc w:val="both"/>
        <w:rPr>
          <w:rFonts w:ascii="Arial" w:hAnsi="Arial" w:cs="Arial"/>
          <w:sz w:val="20"/>
        </w:rPr>
      </w:pPr>
    </w:p>
    <w:p w:rsidR="00D91D1F" w:rsidRPr="00E564A6" w:rsidRDefault="00D91D1F" w:rsidP="00D91D1F">
      <w:pPr>
        <w:jc w:val="both"/>
        <w:rPr>
          <w:rFonts w:ascii="Arial" w:hAnsi="Arial" w:cs="Arial"/>
          <w:sz w:val="20"/>
        </w:rPr>
      </w:pPr>
      <w:r w:rsidRPr="00E564A6">
        <w:rPr>
          <w:rFonts w:ascii="Arial" w:hAnsi="Arial" w:cs="Arial"/>
          <w:sz w:val="20"/>
        </w:rPr>
        <w:t>Nacionalni program razvoja pomorstva zajema usmeritve za trajnostni razvoj pomorstva in zagotavljanje varnosti pomorskega prometa na naslednjih področjih: pomorsko gospodarstvo, varnost pomorskega prometa, urejanje obalnega prostora, grozdenje v pomorskem gospodarstvu, izobraževanje kadrov za potrebe pomorstva, koprsko tovorno pristanišče, razvoj potniškega pristanišča, gospodarske dejavnosti kot so: ladjarstvo, ladjedelstvo, izdelava ladijskih sestavnih delov ter jaht in plovil za rekreacijo, pomorske avtoceste in prevoz po morju na kratkih razdaljah, hidrografija in kartografija, ekologija, izvajanje mednarodne zakonodaje.</w:t>
      </w:r>
    </w:p>
    <w:p w:rsidR="00D91D1F" w:rsidRPr="00E564A6" w:rsidRDefault="00D91D1F" w:rsidP="00D91D1F">
      <w:pPr>
        <w:jc w:val="both"/>
        <w:rPr>
          <w:rFonts w:ascii="Arial" w:hAnsi="Arial" w:cs="Arial"/>
          <w:sz w:val="20"/>
        </w:rPr>
      </w:pPr>
    </w:p>
    <w:p w:rsidR="00D91D1F" w:rsidRPr="00E564A6" w:rsidRDefault="00D91D1F" w:rsidP="00D91D1F">
      <w:pPr>
        <w:jc w:val="both"/>
        <w:rPr>
          <w:rFonts w:ascii="Arial" w:hAnsi="Arial" w:cs="Arial"/>
          <w:sz w:val="20"/>
        </w:rPr>
      </w:pPr>
      <w:r w:rsidRPr="00E564A6">
        <w:rPr>
          <w:rFonts w:ascii="Arial" w:hAnsi="Arial" w:cs="Arial"/>
          <w:sz w:val="20"/>
        </w:rPr>
        <w:t>Nacionalni program razvoja pomorstva je bil realiziran na naslednjih glavnih področjih:</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 xml:space="preserve">s sprejetjem Zakona o davku na tonažo (Uradni list RS, št. 97/09 – uradno prečiščeno besedilo) in odobritvijo sheme državne pomoči Evropske komisije je bil uveden alternativen način določanja davčnih obveznosti zavezancev za davek od dohodkov pravnih oseb, ki dosegajo dohodke iz poslovanja z ladjami v mednarodni plovbi, </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izboljšanje varnosti plovbe je bila usmerjena v razvoj dejavnosti v okviru Uprave Republike Slovenije za pomorstvo z nadgradnjo njenega obstoječega sistema nadzora nad plovbo, dodatnim usposabljanjem kadra ter nabavo sodobnejših plovil za potrebe reševanja, intervencij ter patruljiranja na morju,</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postopna vzpostavitev enotnega okna z namenom razbremenitve gospodarskih subjektov pri administrativnih obveznostih kot je olajšanje posredovanja podatkov in izmenjava podatkov z drugimi državnimi organi,</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sprejeta je bila Uredba o koordinaciji služb na morju (Uradni list RS, št. 102/12), ki je podlaga za redno in aktivno sodelovanje med državnimi organi, ki izvajajo pristojnosti na morju,</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za zagotavljanje učinkovitejšega vzdrževanja objektov za varnost plovbe je bila sprejeta Uredba o načinu in pogojih opravljanja gospodarske javne službe rednega vzdrževanja objektov za varnost plovbe (Uradni list RS, št. 36/13 in 35/14),</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s sprejetjem Uredbe o državnem prostorskem načrtu za celovito prostorsko ureditev pristanišča za mednarodni promet v Kopru (Uradni list RS, št. 48/11) je določen okvir za izvajanje investicij v koprskem pristanišču in osnova za načrtovanje prihodnjih investicij v pristaniško infrastrukturo,</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sprejeta je bila Uredba o pooblastilih pomorščakov (Uradni list RS, št. 85/14), ki predstavlja sodobno ureditev usposabljanja pomorščakov v skladu z zakonodajo EU in mednarodno zakonodajo (Zakon o ratifikaciji Manilskih sprememb, 2010, priloge k Mednarodni konvenciji o standardih za usposabljanje, izdajanje spričeval in ladijsko stražarjenje pomorščakov (STCW), 1978, Uradni list RS-MP, št. 8/13),</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 xml:space="preserve">skladno s sprejetim Programom razvoja koprskega pristanišča za obdobje od 2011 do 2015 je koncesionar v tem obdobju izvedel investicije v javno pristaniško infrastrukturo v skupni višini 14.961.426 EUR, v nejavno pristaniško infrastrukturo pa v višini 30.743.355 EUR. Nekateri pomembni mejniki: v letu 2014 se je pretovor v koprskem pristanišču približal 19 mio ton skupnega ladijskega prometa, od tega skoraj 675 tisoč TEU kontejnerskega prometa in 520 tisoč avtomobilov, v letu 2015 pa je skupni pretovor znašal 20,7 mio ton. V obdobju 2009-2014 se je kontejnerski promet pristanišča Koper podvojil, od leta 2010 je pristanišče vodilno v pretovoru kontejnerjev v Jadranu, s približno </w:t>
      </w:r>
      <w:r w:rsidR="004B1F80" w:rsidRPr="004D661A">
        <w:rPr>
          <w:rFonts w:ascii="Arial" w:hAnsi="Arial" w:cs="Arial"/>
          <w:sz w:val="20"/>
          <w:szCs w:val="20"/>
        </w:rPr>
        <w:t>tretjinskim</w:t>
      </w:r>
      <w:r w:rsidRPr="004D661A">
        <w:rPr>
          <w:rFonts w:ascii="Arial" w:hAnsi="Arial" w:cs="Arial"/>
          <w:sz w:val="20"/>
          <w:szCs w:val="20"/>
        </w:rPr>
        <w:t xml:space="preserve"> tržnim deležem med pristanišči severnega Jadrana, </w:t>
      </w:r>
      <w:r w:rsidRPr="004D661A">
        <w:rPr>
          <w:rFonts w:ascii="Arial" w:hAnsi="Arial" w:cs="Arial"/>
          <w:sz w:val="20"/>
          <w:szCs w:val="20"/>
        </w:rPr>
        <w:lastRenderedPageBreak/>
        <w:t xml:space="preserve">od leta 2013 je pristanišče po obsegu pretovora avtomobilov drugo v Mediteranu.  Za projekt poglobitve vplovnega kanala v bazen I koprskega tovornega pristanišča je bilo v obdobju 2011–2015 porabljenih 2.055.504 EUR proračunskih in 7.146.584 EUR EU sredstev. Z realizacijo projekta je omogočeno vplutje večjih post-panamax ladij v pristanišče. </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uskladitev delovnopravne zakonodaje za pomorščake v skladu s standardi Konvencije o delu v pomorstvu, 2006 (Uradni list RS-MP, št. 2/16),</w:t>
      </w:r>
    </w:p>
    <w:p w:rsidR="00D91D1F" w:rsidRPr="004D661A" w:rsidRDefault="00C3731D" w:rsidP="004D661A">
      <w:pPr>
        <w:numPr>
          <w:ilvl w:val="0"/>
          <w:numId w:val="11"/>
        </w:numPr>
        <w:ind w:left="426" w:hanging="349"/>
        <w:jc w:val="both"/>
        <w:rPr>
          <w:rFonts w:ascii="Arial" w:hAnsi="Arial" w:cs="Arial"/>
          <w:sz w:val="20"/>
          <w:szCs w:val="20"/>
        </w:rPr>
      </w:pPr>
      <w:r w:rsidRPr="004D661A">
        <w:rPr>
          <w:rFonts w:ascii="Arial" w:hAnsi="Arial" w:cs="Arial"/>
          <w:sz w:val="20"/>
          <w:szCs w:val="20"/>
        </w:rPr>
        <w:t xml:space="preserve">v skladu z Zakonom o dohodnini – Zdoh-2 velja za pomorščake, ki vsaj </w:t>
      </w:r>
      <w:r w:rsidR="00D91D1F" w:rsidRPr="004D661A">
        <w:rPr>
          <w:rFonts w:ascii="Arial" w:hAnsi="Arial" w:cs="Arial"/>
          <w:sz w:val="20"/>
          <w:szCs w:val="20"/>
        </w:rPr>
        <w:t xml:space="preserve">šest mesecev </w:t>
      </w:r>
      <w:r w:rsidR="00D1451F" w:rsidRPr="004D661A">
        <w:rPr>
          <w:rFonts w:ascii="Arial" w:hAnsi="Arial" w:cs="Arial"/>
          <w:sz w:val="20"/>
          <w:szCs w:val="20"/>
        </w:rPr>
        <w:t xml:space="preserve">plujejo v mednarodni plovbi, </w:t>
      </w:r>
      <w:r w:rsidRPr="004D661A">
        <w:rPr>
          <w:rFonts w:ascii="Arial" w:hAnsi="Arial" w:cs="Arial"/>
          <w:sz w:val="20"/>
          <w:szCs w:val="20"/>
        </w:rPr>
        <w:t>posebna davčna osnova</w:t>
      </w:r>
      <w:r w:rsidR="00D91D1F" w:rsidRPr="004D661A">
        <w:rPr>
          <w:rFonts w:ascii="Arial" w:hAnsi="Arial" w:cs="Arial"/>
          <w:sz w:val="20"/>
          <w:szCs w:val="20"/>
        </w:rPr>
        <w:t xml:space="preserve"> (v davčno osnovo od dohodka</w:t>
      </w:r>
      <w:r w:rsidRPr="004D661A">
        <w:rPr>
          <w:rFonts w:ascii="Arial" w:hAnsi="Arial" w:cs="Arial"/>
          <w:sz w:val="20"/>
          <w:szCs w:val="20"/>
        </w:rPr>
        <w:t>, v zvezi z opravljanjem dela,</w:t>
      </w:r>
      <w:r w:rsidR="00D91D1F" w:rsidRPr="004D661A">
        <w:rPr>
          <w:rFonts w:ascii="Arial" w:hAnsi="Arial" w:cs="Arial"/>
          <w:sz w:val="20"/>
          <w:szCs w:val="20"/>
        </w:rPr>
        <w:t xml:space="preserve"> se všteva 50% dohodka),</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s sodelovanjem pri EU projektih, ki so sofinancirani iz Instrumenta povezovanja Evrope, se pomaga pri razvoju pomorskih avtocest in uvedbi elektronskega poslovanja v celotni logistični verigi. S tem se je povečala konkurenčnost in omogočilo, da se del tovora iz kopenskega prometa prenese na pomorske avtoceste,</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z namenom večje učinkovitosti delovanja organov na morju se služba varovanja obalnega morja prenese na Upravo RS za pomorstvo,</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 xml:space="preserve">imenovanje Geodetskega inštituta Slovenije, ki izvaja naloge hidrografske dejavnosti v RS ter sodelovanje z Mednarodnim centrom za elektronske navigacijske karte, ki je izdal prvo slovensko pomorsko elektronsko karto, ki zajema območje koprskega tovornega pristanišča. Ratificiran je tudi Protokol </w:t>
      </w:r>
      <w:r w:rsidR="00FB26DA" w:rsidRPr="004D661A">
        <w:rPr>
          <w:rFonts w:ascii="Arial" w:hAnsi="Arial" w:cs="Arial"/>
          <w:sz w:val="20"/>
          <w:szCs w:val="20"/>
        </w:rPr>
        <w:t>h</w:t>
      </w:r>
      <w:r w:rsidRPr="004D661A">
        <w:rPr>
          <w:rFonts w:ascii="Arial" w:hAnsi="Arial" w:cs="Arial"/>
          <w:sz w:val="20"/>
          <w:szCs w:val="20"/>
        </w:rPr>
        <w:t xml:space="preserve"> konvenciji Mednarodne hidrografske organizacije (Uradni list RS-MP, št. </w:t>
      </w:r>
      <w:r w:rsidR="00095660" w:rsidRPr="004D661A">
        <w:rPr>
          <w:rFonts w:ascii="Arial" w:hAnsi="Arial" w:cs="Arial"/>
          <w:sz w:val="20"/>
          <w:szCs w:val="20"/>
        </w:rPr>
        <w:t>108</w:t>
      </w:r>
      <w:r w:rsidRPr="004D661A">
        <w:rPr>
          <w:rFonts w:ascii="Arial" w:hAnsi="Arial" w:cs="Arial"/>
          <w:sz w:val="20"/>
          <w:szCs w:val="20"/>
        </w:rPr>
        <w:t>/1</w:t>
      </w:r>
      <w:r w:rsidR="00095660" w:rsidRPr="004D661A">
        <w:rPr>
          <w:rFonts w:ascii="Arial" w:hAnsi="Arial" w:cs="Arial"/>
          <w:sz w:val="20"/>
          <w:szCs w:val="20"/>
        </w:rPr>
        <w:t>2</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poleg navedenih konvencij je RS z namenom izvajanja mednarodnega pravnega reda ratificirala še Konvencijo o omejitvi odgovornosti za pomorske terjatve, 1976 in Protokol iz leta 1996, ki spreminja to konvencijo.</w:t>
      </w:r>
    </w:p>
    <w:p w:rsidR="00D91D1F" w:rsidRPr="00E564A6" w:rsidRDefault="00D91D1F" w:rsidP="00D91D1F">
      <w:pPr>
        <w:jc w:val="both"/>
        <w:rPr>
          <w:rFonts w:ascii="Arial" w:hAnsi="Arial" w:cs="Arial"/>
          <w:sz w:val="20"/>
        </w:rPr>
      </w:pPr>
    </w:p>
    <w:p w:rsidR="00D91D1F" w:rsidRPr="00E564A6" w:rsidRDefault="00D91D1F" w:rsidP="00D91D1F">
      <w:pPr>
        <w:jc w:val="both"/>
        <w:rPr>
          <w:rFonts w:ascii="Arial" w:hAnsi="Arial" w:cs="Arial"/>
          <w:sz w:val="20"/>
        </w:rPr>
      </w:pPr>
      <w:r w:rsidRPr="00E564A6">
        <w:rPr>
          <w:rFonts w:ascii="Arial" w:hAnsi="Arial" w:cs="Arial"/>
          <w:sz w:val="20"/>
        </w:rPr>
        <w:t>Prihodnje aktivnosti na področju pomorstva pa določa ta Nacionalni program.</w:t>
      </w:r>
    </w:p>
    <w:p w:rsidR="00D91D1F" w:rsidRPr="00D91D1F" w:rsidRDefault="00D91D1F" w:rsidP="00D91D1F">
      <w:pPr>
        <w:jc w:val="both"/>
        <w:rPr>
          <w:rFonts w:ascii="Arial" w:hAnsi="Arial" w:cs="Arial"/>
        </w:rPr>
      </w:pPr>
    </w:p>
    <w:p w:rsidR="00D91D1F" w:rsidRPr="00D91D1F" w:rsidRDefault="00D91D1F" w:rsidP="00D91D1F">
      <w:pPr>
        <w:jc w:val="both"/>
        <w:rPr>
          <w:rFonts w:ascii="Arial" w:hAnsi="Arial" w:cs="Arial"/>
        </w:rPr>
      </w:pPr>
    </w:p>
    <w:p w:rsidR="005C2E5A" w:rsidRPr="008C19E2" w:rsidRDefault="00E706C0" w:rsidP="00E706C0">
      <w:pPr>
        <w:pStyle w:val="Naslov2"/>
        <w:ind w:left="567" w:hanging="567"/>
      </w:pPr>
      <w:bookmarkStart w:id="28" w:name="_Toc456688577"/>
      <w:r>
        <w:t>4.5</w:t>
      </w:r>
      <w:r>
        <w:tab/>
      </w:r>
      <w:r w:rsidR="005C2E5A" w:rsidRPr="008C19E2">
        <w:t>Poročilo o izvajanju Resolucije o Nacionalnem programu razvoja civilnega letalstva Republike Slovenije</w:t>
      </w:r>
      <w:r w:rsidR="005C2E5A" w:rsidRPr="00936357">
        <w:t xml:space="preserve"> </w:t>
      </w:r>
      <w:r w:rsidR="005C2E5A" w:rsidRPr="008C19E2">
        <w:t>do leta 2020 (Uradni list RS, št. 9/10) v delu, ki se nanaša na javna letališča</w:t>
      </w:r>
      <w:bookmarkEnd w:id="28"/>
    </w:p>
    <w:p w:rsidR="00D91D1F" w:rsidRPr="009B45A5" w:rsidRDefault="00D91D1F" w:rsidP="00D91D1F">
      <w:pPr>
        <w:jc w:val="both"/>
        <w:rPr>
          <w:rFonts w:ascii="Arial" w:hAnsi="Arial" w:cs="Arial"/>
          <w:sz w:val="20"/>
          <w:szCs w:val="20"/>
        </w:rPr>
      </w:pPr>
    </w:p>
    <w:p w:rsidR="00F244DF" w:rsidRPr="00F244DF" w:rsidRDefault="00F244DF" w:rsidP="00F244DF">
      <w:pPr>
        <w:jc w:val="both"/>
        <w:rPr>
          <w:rFonts w:ascii="Arial" w:hAnsi="Arial" w:cs="Arial"/>
          <w:sz w:val="20"/>
          <w:szCs w:val="20"/>
        </w:rPr>
      </w:pPr>
      <w:r w:rsidRPr="00F244DF">
        <w:rPr>
          <w:rFonts w:ascii="Arial" w:hAnsi="Arial" w:cs="Arial"/>
          <w:sz w:val="20"/>
          <w:szCs w:val="20"/>
        </w:rPr>
        <w:t xml:space="preserve">V letu 2010 je Državni zbor Republike Slovenije sprejel Resolucijo o nacionalnem programu razvoja civilnega letalstva do leta 2020 (Uradni list RS, št. 9/10), ki je bila objavljena 09.02.2010. Resolucija določa smernice razvoja civilnega letalstva in ukrepe za uresničevanje ciljev razvoja civilnega letalstva v Republiki Sloveniji. </w:t>
      </w:r>
    </w:p>
    <w:p w:rsidR="00F244DF" w:rsidRPr="00F244DF" w:rsidRDefault="00F244DF" w:rsidP="00F244DF">
      <w:pPr>
        <w:jc w:val="both"/>
        <w:rPr>
          <w:rFonts w:ascii="Arial" w:hAnsi="Arial" w:cs="Arial"/>
          <w:sz w:val="20"/>
          <w:szCs w:val="20"/>
        </w:rPr>
      </w:pPr>
    </w:p>
    <w:p w:rsidR="00F244DF" w:rsidRPr="00F244DF" w:rsidRDefault="00F244DF" w:rsidP="00F244DF">
      <w:pPr>
        <w:jc w:val="both"/>
        <w:rPr>
          <w:rFonts w:ascii="Arial" w:hAnsi="Arial" w:cs="Arial"/>
          <w:sz w:val="20"/>
          <w:szCs w:val="20"/>
        </w:rPr>
      </w:pPr>
      <w:r w:rsidRPr="00F244DF">
        <w:rPr>
          <w:rFonts w:ascii="Arial" w:hAnsi="Arial" w:cs="Arial"/>
          <w:sz w:val="20"/>
          <w:szCs w:val="20"/>
        </w:rPr>
        <w:t xml:space="preserve">Ravno tako določa, da bo ministrstvo, pristojno za promet, vsaki dve leti pripravilo vmesno poročilo o stanju izvajanja Nacionalnega programa razvoja civilnega letalstva. Na podlagi navedene določbe in potreb ministrstva je v nadaljevanju pripravljeno poročilo v delu, ki se nanaša na javna letališča. </w:t>
      </w:r>
    </w:p>
    <w:p w:rsidR="00F244DF" w:rsidRPr="00F244DF" w:rsidRDefault="00F244DF" w:rsidP="00F244DF">
      <w:pPr>
        <w:jc w:val="both"/>
        <w:rPr>
          <w:rFonts w:ascii="Arial" w:hAnsi="Arial" w:cs="Arial"/>
          <w:sz w:val="20"/>
          <w:szCs w:val="20"/>
        </w:rPr>
      </w:pPr>
    </w:p>
    <w:p w:rsidR="00F244DF" w:rsidRPr="009047E1" w:rsidRDefault="00936357" w:rsidP="00E706C0">
      <w:pPr>
        <w:pStyle w:val="Naslov3"/>
        <w:ind w:left="709" w:hanging="709"/>
      </w:pPr>
      <w:bookmarkStart w:id="29" w:name="_Toc456688578"/>
      <w:r>
        <w:t>4</w:t>
      </w:r>
      <w:r w:rsidR="00E706C0">
        <w:t>.5.1</w:t>
      </w:r>
      <w:r w:rsidR="00E706C0">
        <w:tab/>
      </w:r>
      <w:r w:rsidR="00F244DF" w:rsidRPr="009047E1">
        <w:t>Razvoj letališč</w:t>
      </w:r>
      <w:bookmarkEnd w:id="29"/>
    </w:p>
    <w:p w:rsidR="00F244DF" w:rsidRPr="00F244DF" w:rsidRDefault="00F244DF" w:rsidP="00F244DF">
      <w:pPr>
        <w:jc w:val="both"/>
        <w:rPr>
          <w:rFonts w:ascii="Arial" w:hAnsi="Arial" w:cs="Arial"/>
          <w:sz w:val="20"/>
          <w:szCs w:val="20"/>
        </w:rPr>
      </w:pPr>
      <w:r w:rsidRPr="00F244DF">
        <w:rPr>
          <w:rFonts w:ascii="Arial" w:hAnsi="Arial" w:cs="Arial"/>
          <w:sz w:val="20"/>
          <w:szCs w:val="20"/>
        </w:rPr>
        <w:t xml:space="preserve">Vlada Republike Slovenije je s Sklepom o opredelitvi sistema javnih letališč (Uradni list RS, št. 78/06) določila sistem javnih letališč, namenjenih za javni zračni promet, ki naj bi zagotavljal enakomeren regionalni razvoj civilnega letalstva in povezanost z drugimi prometnimi sistemi. Navedeni sklep temelji na dejanskem stanju obstoječih javnih letališč. </w:t>
      </w:r>
    </w:p>
    <w:p w:rsidR="00F244DF" w:rsidRPr="00F244DF" w:rsidRDefault="00F244DF" w:rsidP="00F244DF">
      <w:pPr>
        <w:jc w:val="both"/>
        <w:rPr>
          <w:rFonts w:ascii="Arial" w:hAnsi="Arial" w:cs="Arial"/>
          <w:sz w:val="20"/>
          <w:szCs w:val="20"/>
        </w:rPr>
      </w:pPr>
      <w:r w:rsidRPr="00F244DF">
        <w:rPr>
          <w:rFonts w:ascii="Arial" w:hAnsi="Arial" w:cs="Arial"/>
          <w:sz w:val="20"/>
          <w:szCs w:val="20"/>
        </w:rPr>
        <w:t>Cilj na tem področju je bil razvoj infrastrukture na javnih letališčih in posledično povečanje letaliških zmogljivosti ter celostna navezava javnih letališč na obstoječo in predvideno javno prometno infrastrukturo in zagotovitev možnosti za intermodalni dostop do javnih letališč.</w:t>
      </w:r>
    </w:p>
    <w:p w:rsidR="00F244DF" w:rsidRPr="00F244DF" w:rsidRDefault="00F244DF" w:rsidP="00F244DF">
      <w:pPr>
        <w:jc w:val="both"/>
        <w:rPr>
          <w:rFonts w:ascii="Arial" w:hAnsi="Arial" w:cs="Arial"/>
          <w:sz w:val="20"/>
          <w:szCs w:val="20"/>
        </w:rPr>
      </w:pPr>
    </w:p>
    <w:p w:rsidR="00F244DF" w:rsidRPr="00F244DF" w:rsidRDefault="00F244DF" w:rsidP="00F244DF">
      <w:pPr>
        <w:jc w:val="both"/>
        <w:rPr>
          <w:rFonts w:ascii="Arial" w:hAnsi="Arial" w:cs="Arial"/>
          <w:sz w:val="20"/>
          <w:szCs w:val="20"/>
        </w:rPr>
      </w:pPr>
      <w:r w:rsidRPr="00F244DF">
        <w:rPr>
          <w:rFonts w:ascii="Arial" w:hAnsi="Arial" w:cs="Arial"/>
          <w:sz w:val="20"/>
          <w:szCs w:val="20"/>
        </w:rPr>
        <w:t>Navedena cilja sta se uresničevala z različnimi ukrepi, in sicer:</w:t>
      </w:r>
    </w:p>
    <w:p w:rsidR="00F244DF" w:rsidRPr="00F244DF" w:rsidRDefault="00F244DF" w:rsidP="00F244DF">
      <w:pPr>
        <w:numPr>
          <w:ilvl w:val="0"/>
          <w:numId w:val="33"/>
        </w:numPr>
        <w:jc w:val="both"/>
        <w:rPr>
          <w:rFonts w:ascii="Arial" w:hAnsi="Arial" w:cs="Arial"/>
          <w:sz w:val="20"/>
          <w:szCs w:val="20"/>
        </w:rPr>
      </w:pPr>
      <w:r w:rsidRPr="00F244DF">
        <w:rPr>
          <w:rFonts w:ascii="Arial" w:hAnsi="Arial" w:cs="Arial"/>
          <w:sz w:val="20"/>
          <w:szCs w:val="20"/>
        </w:rPr>
        <w:t>Priprava in sprejetje izvedbenih prostorskih aktov za javna letališča državnega pomena.</w:t>
      </w:r>
    </w:p>
    <w:p w:rsidR="00F244DF" w:rsidRPr="00F244DF" w:rsidRDefault="00F244DF" w:rsidP="00F244DF">
      <w:pPr>
        <w:jc w:val="both"/>
        <w:rPr>
          <w:rFonts w:ascii="Arial" w:hAnsi="Arial" w:cs="Arial"/>
          <w:sz w:val="20"/>
          <w:szCs w:val="20"/>
        </w:rPr>
      </w:pPr>
      <w:r w:rsidRPr="00F244DF">
        <w:rPr>
          <w:rFonts w:ascii="Arial" w:hAnsi="Arial" w:cs="Arial"/>
          <w:sz w:val="20"/>
          <w:szCs w:val="20"/>
        </w:rPr>
        <w:t xml:space="preserve">Vlada Republike Slovenije je s Sklepom o opredelitvi sistema javnih letališč (Uradni list RS, št. 78/06) določila da so </w:t>
      </w:r>
      <w:r w:rsidR="009047E1">
        <w:rPr>
          <w:rFonts w:ascii="Arial" w:hAnsi="Arial" w:cs="Arial"/>
          <w:sz w:val="20"/>
          <w:szCs w:val="20"/>
        </w:rPr>
        <w:t xml:space="preserve">naslednja </w:t>
      </w:r>
      <w:r w:rsidR="009047E1" w:rsidRPr="00F244DF">
        <w:rPr>
          <w:rFonts w:ascii="Arial" w:hAnsi="Arial" w:cs="Arial"/>
          <w:sz w:val="20"/>
          <w:szCs w:val="20"/>
        </w:rPr>
        <w:t>letališča infrastrukturni objekti državnega pomena, namenjeni mednarodnemu zračnemu prometu</w:t>
      </w:r>
      <w:r w:rsidRPr="00F244DF">
        <w:rPr>
          <w:rFonts w:ascii="Arial" w:hAnsi="Arial" w:cs="Arial"/>
          <w:sz w:val="20"/>
          <w:szCs w:val="20"/>
        </w:rPr>
        <w:t xml:space="preserve">: </w:t>
      </w:r>
    </w:p>
    <w:p w:rsidR="00F244DF" w:rsidRPr="004D661A" w:rsidRDefault="00F244DF" w:rsidP="004D661A">
      <w:pPr>
        <w:numPr>
          <w:ilvl w:val="0"/>
          <w:numId w:val="11"/>
        </w:numPr>
        <w:ind w:left="426" w:hanging="349"/>
        <w:jc w:val="both"/>
        <w:rPr>
          <w:rFonts w:ascii="Arial" w:hAnsi="Arial" w:cs="Arial"/>
          <w:sz w:val="20"/>
          <w:szCs w:val="20"/>
        </w:rPr>
      </w:pPr>
      <w:r w:rsidRPr="004D661A">
        <w:rPr>
          <w:rFonts w:ascii="Arial" w:hAnsi="Arial" w:cs="Arial"/>
          <w:sz w:val="20"/>
          <w:szCs w:val="20"/>
        </w:rPr>
        <w:t xml:space="preserve">Letališče Jožeta Pučnika Ljubljana, </w:t>
      </w:r>
    </w:p>
    <w:p w:rsidR="00F244DF" w:rsidRPr="004D661A" w:rsidRDefault="00F244DF" w:rsidP="004D661A">
      <w:pPr>
        <w:numPr>
          <w:ilvl w:val="0"/>
          <w:numId w:val="11"/>
        </w:numPr>
        <w:ind w:left="426" w:hanging="349"/>
        <w:jc w:val="both"/>
        <w:rPr>
          <w:rFonts w:ascii="Arial" w:hAnsi="Arial" w:cs="Arial"/>
          <w:sz w:val="20"/>
          <w:szCs w:val="20"/>
        </w:rPr>
      </w:pPr>
      <w:r w:rsidRPr="004D661A">
        <w:rPr>
          <w:rFonts w:ascii="Arial" w:hAnsi="Arial" w:cs="Arial"/>
          <w:sz w:val="20"/>
          <w:szCs w:val="20"/>
        </w:rPr>
        <w:t xml:space="preserve">Letališče Edvarda Rusjana Maribor in </w:t>
      </w:r>
    </w:p>
    <w:p w:rsidR="00F244DF" w:rsidRPr="004D661A" w:rsidRDefault="009047E1" w:rsidP="004D661A">
      <w:pPr>
        <w:numPr>
          <w:ilvl w:val="0"/>
          <w:numId w:val="11"/>
        </w:numPr>
        <w:ind w:left="426" w:hanging="349"/>
        <w:jc w:val="both"/>
        <w:rPr>
          <w:rFonts w:ascii="Arial" w:hAnsi="Arial" w:cs="Arial"/>
          <w:sz w:val="20"/>
          <w:szCs w:val="20"/>
        </w:rPr>
      </w:pPr>
      <w:r w:rsidRPr="004D661A">
        <w:rPr>
          <w:rFonts w:ascii="Arial" w:hAnsi="Arial" w:cs="Arial"/>
          <w:sz w:val="20"/>
          <w:szCs w:val="20"/>
        </w:rPr>
        <w:t>Letališče Portorož.</w:t>
      </w:r>
    </w:p>
    <w:p w:rsidR="00F244DF" w:rsidRPr="00F244DF" w:rsidRDefault="00F244DF" w:rsidP="00F244DF">
      <w:pPr>
        <w:jc w:val="both"/>
        <w:rPr>
          <w:rFonts w:ascii="Arial" w:hAnsi="Arial" w:cs="Arial"/>
          <w:sz w:val="20"/>
          <w:szCs w:val="20"/>
        </w:rPr>
      </w:pPr>
    </w:p>
    <w:p w:rsidR="00F244DF" w:rsidRPr="00F244DF" w:rsidRDefault="00F244DF" w:rsidP="00F244DF">
      <w:pPr>
        <w:jc w:val="both"/>
        <w:rPr>
          <w:rFonts w:ascii="Arial" w:hAnsi="Arial" w:cs="Arial"/>
          <w:sz w:val="20"/>
          <w:szCs w:val="20"/>
        </w:rPr>
      </w:pPr>
      <w:r w:rsidRPr="00F244DF">
        <w:rPr>
          <w:rFonts w:ascii="Arial" w:hAnsi="Arial" w:cs="Arial"/>
          <w:sz w:val="20"/>
          <w:szCs w:val="20"/>
        </w:rPr>
        <w:t xml:space="preserve">Na podlagi Zakona o umeščanju prostorskih ureditev državnega pomena v prostor izhaja, da prostorske ureditve državnega pomena, ki so zaradi svojih gospodarskih, socialnih, kulturnih in </w:t>
      </w:r>
      <w:r w:rsidRPr="00F244DF">
        <w:rPr>
          <w:rFonts w:ascii="Arial" w:hAnsi="Arial" w:cs="Arial"/>
          <w:sz w:val="20"/>
          <w:szCs w:val="20"/>
        </w:rPr>
        <w:lastRenderedPageBreak/>
        <w:t>varstvenih značilnosti ob upoštevanju ciljev prostorskega načrtovanja pomembne za prostorski razvoj Republike Slovenije, načrtuje država.</w:t>
      </w:r>
    </w:p>
    <w:p w:rsidR="00F244DF" w:rsidRPr="00F244DF" w:rsidRDefault="00F244DF" w:rsidP="00F244DF">
      <w:pPr>
        <w:jc w:val="both"/>
        <w:rPr>
          <w:rFonts w:ascii="Arial" w:hAnsi="Arial" w:cs="Arial"/>
          <w:sz w:val="20"/>
          <w:szCs w:val="20"/>
        </w:rPr>
      </w:pPr>
    </w:p>
    <w:p w:rsidR="00F244DF" w:rsidRPr="00F244DF" w:rsidRDefault="00F244DF" w:rsidP="00F244DF">
      <w:pPr>
        <w:jc w:val="both"/>
        <w:rPr>
          <w:rFonts w:ascii="Arial" w:hAnsi="Arial" w:cs="Arial"/>
          <w:sz w:val="20"/>
          <w:szCs w:val="20"/>
        </w:rPr>
      </w:pPr>
      <w:r w:rsidRPr="00F244DF">
        <w:rPr>
          <w:rFonts w:ascii="Arial" w:hAnsi="Arial" w:cs="Arial"/>
          <w:sz w:val="20"/>
          <w:szCs w:val="20"/>
        </w:rPr>
        <w:t>Zaradi tega Ministrstvo za infrastrukturo pospešeno nadaljuje s pripravo državnih prostorskih načrtov za vsa tri letališča. Z njimi je predvidena rezervacija prostora za umestitev infrastrukturnih objektov, naprav in sredstev ter infrastrukturnih objektov, naprav in sistemov navigacijskih služb zračnega prometa, objektov in naprav za zagotavljanje zemeljskega transporta, notranjih prometnih tokov ter prostora za druge objekte in naprave potrebne za nadaljnji razvoj. Predvideno je da bodo vsi trije DPN-ji zaključeni po letu 2020.</w:t>
      </w:r>
    </w:p>
    <w:p w:rsidR="00F244DF" w:rsidRPr="00F244DF" w:rsidRDefault="00F244DF" w:rsidP="00F244DF">
      <w:pPr>
        <w:jc w:val="both"/>
        <w:rPr>
          <w:rFonts w:ascii="Arial" w:hAnsi="Arial" w:cs="Arial"/>
          <w:sz w:val="20"/>
          <w:szCs w:val="20"/>
        </w:rPr>
      </w:pPr>
    </w:p>
    <w:p w:rsidR="00F244DF" w:rsidRPr="00F244DF" w:rsidRDefault="00F244DF" w:rsidP="009047E1">
      <w:pPr>
        <w:jc w:val="both"/>
        <w:rPr>
          <w:rFonts w:ascii="Arial" w:hAnsi="Arial" w:cs="Arial"/>
          <w:i/>
          <w:sz w:val="20"/>
          <w:szCs w:val="20"/>
        </w:rPr>
      </w:pPr>
      <w:r w:rsidRPr="00F244DF">
        <w:rPr>
          <w:rFonts w:ascii="Arial" w:hAnsi="Arial" w:cs="Arial"/>
          <w:i/>
          <w:sz w:val="20"/>
          <w:szCs w:val="20"/>
        </w:rPr>
        <w:t>DPN za letališče Jožeta Pučnika Ljubljana</w:t>
      </w:r>
    </w:p>
    <w:p w:rsidR="00F244DF" w:rsidRPr="00F244DF" w:rsidRDefault="00F244DF" w:rsidP="00F244DF">
      <w:pPr>
        <w:jc w:val="both"/>
        <w:rPr>
          <w:rFonts w:ascii="Arial" w:hAnsi="Arial" w:cs="Arial"/>
          <w:sz w:val="20"/>
          <w:szCs w:val="20"/>
        </w:rPr>
      </w:pPr>
      <w:r w:rsidRPr="00F244DF">
        <w:rPr>
          <w:rFonts w:ascii="Arial" w:hAnsi="Arial" w:cs="Arial"/>
          <w:sz w:val="20"/>
          <w:szCs w:val="20"/>
        </w:rPr>
        <w:t>Junija 2015 je Vlada RS sprejela Sklep o pripravi DPN za Letališče Jožeta Pučnika Ljubljana. V pripravi je javni razpis za svetovalno inženirske storitve za pripravo prostorske, okoljske, investicijske in tehnične dokumentacije.</w:t>
      </w:r>
    </w:p>
    <w:p w:rsidR="00F244DF" w:rsidRPr="00F244DF" w:rsidRDefault="00F244DF" w:rsidP="00F244DF">
      <w:pPr>
        <w:jc w:val="both"/>
        <w:rPr>
          <w:rFonts w:ascii="Arial" w:hAnsi="Arial" w:cs="Arial"/>
          <w:i/>
          <w:sz w:val="20"/>
          <w:szCs w:val="20"/>
        </w:rPr>
      </w:pPr>
    </w:p>
    <w:p w:rsidR="00F244DF" w:rsidRPr="00F244DF" w:rsidRDefault="00F244DF" w:rsidP="009047E1">
      <w:pPr>
        <w:jc w:val="both"/>
        <w:rPr>
          <w:rFonts w:ascii="Arial" w:hAnsi="Arial" w:cs="Arial"/>
          <w:i/>
          <w:sz w:val="20"/>
          <w:szCs w:val="20"/>
        </w:rPr>
      </w:pPr>
      <w:r w:rsidRPr="00F244DF">
        <w:rPr>
          <w:rFonts w:ascii="Arial" w:hAnsi="Arial" w:cs="Arial"/>
          <w:i/>
          <w:sz w:val="20"/>
          <w:szCs w:val="20"/>
        </w:rPr>
        <w:t>DPN za letališče Edvarda Rusjana Maribor</w:t>
      </w:r>
    </w:p>
    <w:p w:rsidR="00F244DF" w:rsidRPr="00F244DF" w:rsidRDefault="00F244DF" w:rsidP="00F244DF">
      <w:pPr>
        <w:jc w:val="both"/>
        <w:rPr>
          <w:rFonts w:ascii="Arial" w:hAnsi="Arial" w:cs="Arial"/>
          <w:sz w:val="20"/>
          <w:szCs w:val="20"/>
        </w:rPr>
      </w:pPr>
      <w:r w:rsidRPr="00F244DF">
        <w:rPr>
          <w:rFonts w:ascii="Arial" w:hAnsi="Arial" w:cs="Arial"/>
          <w:sz w:val="20"/>
          <w:szCs w:val="20"/>
        </w:rPr>
        <w:t xml:space="preserve">Konec leta 2015 je bila izdelana Pobuda za DPN za letališče Portorož. Trenutno se izdeluje analiza smernic. Aktivno potekajo dogovarjanja z lokalnimi in državnimi nosilci urejanja prostora rezultat katerih bo določitev izvedljive variante načrtovanih ureditev na območju letališča. </w:t>
      </w:r>
    </w:p>
    <w:p w:rsidR="00F244DF" w:rsidRPr="00F244DF" w:rsidRDefault="00F244DF" w:rsidP="00F244DF">
      <w:pPr>
        <w:jc w:val="both"/>
        <w:rPr>
          <w:rFonts w:ascii="Arial" w:hAnsi="Arial" w:cs="Arial"/>
          <w:sz w:val="20"/>
          <w:szCs w:val="20"/>
        </w:rPr>
      </w:pPr>
    </w:p>
    <w:p w:rsidR="00F244DF" w:rsidRPr="00F244DF" w:rsidRDefault="00F244DF" w:rsidP="009047E1">
      <w:pPr>
        <w:jc w:val="both"/>
        <w:rPr>
          <w:rFonts w:ascii="Arial" w:hAnsi="Arial" w:cs="Arial"/>
          <w:i/>
          <w:sz w:val="20"/>
          <w:szCs w:val="20"/>
        </w:rPr>
      </w:pPr>
      <w:r w:rsidRPr="00F244DF">
        <w:rPr>
          <w:rFonts w:ascii="Arial" w:hAnsi="Arial" w:cs="Arial"/>
          <w:i/>
          <w:sz w:val="20"/>
          <w:szCs w:val="20"/>
        </w:rPr>
        <w:t xml:space="preserve">DPN za letališče Portorož </w:t>
      </w:r>
    </w:p>
    <w:p w:rsidR="00F244DF" w:rsidRPr="00F244DF" w:rsidRDefault="00F244DF" w:rsidP="00F244DF">
      <w:pPr>
        <w:jc w:val="both"/>
        <w:rPr>
          <w:rFonts w:ascii="Arial" w:hAnsi="Arial" w:cs="Arial"/>
          <w:sz w:val="20"/>
          <w:szCs w:val="20"/>
        </w:rPr>
      </w:pPr>
      <w:r w:rsidRPr="00F244DF">
        <w:rPr>
          <w:rFonts w:ascii="Arial" w:hAnsi="Arial" w:cs="Arial"/>
          <w:sz w:val="20"/>
          <w:szCs w:val="20"/>
        </w:rPr>
        <w:t>Junija 2015 je Vlada RS sprejela Sklep o pripravi DPN za Letališče Portorož. V teku so aktivnosti za izdelavo strokovnih podlag ter prostorske, okoljske, investicijske in tehnične dokumentacije potrebne za sprejem uredbe o DPN.</w:t>
      </w:r>
    </w:p>
    <w:p w:rsidR="00F244DF" w:rsidRPr="00F244DF" w:rsidRDefault="00F244DF" w:rsidP="00F244DF">
      <w:pPr>
        <w:jc w:val="both"/>
        <w:rPr>
          <w:rFonts w:ascii="Arial" w:hAnsi="Arial" w:cs="Arial"/>
          <w:sz w:val="20"/>
          <w:szCs w:val="20"/>
        </w:rPr>
      </w:pPr>
    </w:p>
    <w:p w:rsidR="00F244DF" w:rsidRPr="009047E1" w:rsidRDefault="00F244DF" w:rsidP="009047E1">
      <w:pPr>
        <w:jc w:val="both"/>
        <w:rPr>
          <w:rFonts w:ascii="Arial" w:hAnsi="Arial" w:cs="Arial"/>
          <w:i/>
          <w:sz w:val="20"/>
          <w:szCs w:val="20"/>
        </w:rPr>
      </w:pPr>
      <w:r w:rsidRPr="009047E1">
        <w:rPr>
          <w:rFonts w:ascii="Arial" w:hAnsi="Arial" w:cs="Arial"/>
          <w:i/>
          <w:sz w:val="20"/>
          <w:szCs w:val="20"/>
        </w:rPr>
        <w:t>Gradnja potniškega terminala na Letališču Edvarda Rusjana Maribor</w:t>
      </w:r>
    </w:p>
    <w:p w:rsidR="00F244DF" w:rsidRPr="00F244DF" w:rsidRDefault="00F244DF" w:rsidP="00F244DF">
      <w:pPr>
        <w:jc w:val="both"/>
        <w:rPr>
          <w:rFonts w:ascii="Arial" w:hAnsi="Arial" w:cs="Arial"/>
          <w:sz w:val="20"/>
          <w:szCs w:val="20"/>
        </w:rPr>
      </w:pPr>
      <w:r w:rsidRPr="00F244DF">
        <w:rPr>
          <w:rFonts w:ascii="Arial" w:hAnsi="Arial" w:cs="Arial"/>
          <w:sz w:val="20"/>
          <w:szCs w:val="20"/>
        </w:rPr>
        <w:t>Ministrstvo za infrastrukturo je skladno z Operativnim programom razvoja okoljske in prometne infrastrukture za obdobje 2007-2013 (OP ROPI) v okviru tretje razvojne prioritete sledilo splošnemu cilju: posodobitev letalske in letališke infrastrukture, v okviru katerega so se izvajale tri prednostne usmeritve:</w:t>
      </w:r>
    </w:p>
    <w:p w:rsidR="00F244DF" w:rsidRPr="004D661A" w:rsidRDefault="00F244DF" w:rsidP="004D661A">
      <w:pPr>
        <w:numPr>
          <w:ilvl w:val="0"/>
          <w:numId w:val="11"/>
        </w:numPr>
        <w:ind w:left="426" w:hanging="349"/>
        <w:jc w:val="both"/>
        <w:rPr>
          <w:rFonts w:ascii="Arial" w:hAnsi="Arial" w:cs="Arial"/>
          <w:sz w:val="20"/>
          <w:szCs w:val="20"/>
        </w:rPr>
      </w:pPr>
      <w:r w:rsidRPr="004D661A">
        <w:rPr>
          <w:rFonts w:ascii="Arial" w:hAnsi="Arial" w:cs="Arial"/>
          <w:sz w:val="20"/>
          <w:szCs w:val="20"/>
        </w:rPr>
        <w:t xml:space="preserve">povečanje prepustne sposobnosti zračnega prostora Republike Slovenije, </w:t>
      </w:r>
    </w:p>
    <w:p w:rsidR="00F244DF" w:rsidRPr="004D661A" w:rsidRDefault="00F244DF" w:rsidP="004D661A">
      <w:pPr>
        <w:numPr>
          <w:ilvl w:val="0"/>
          <w:numId w:val="11"/>
        </w:numPr>
        <w:ind w:left="426" w:hanging="349"/>
        <w:jc w:val="both"/>
        <w:rPr>
          <w:rFonts w:ascii="Arial" w:hAnsi="Arial" w:cs="Arial"/>
          <w:sz w:val="20"/>
          <w:szCs w:val="20"/>
        </w:rPr>
      </w:pPr>
      <w:r w:rsidRPr="004D661A">
        <w:rPr>
          <w:rFonts w:ascii="Arial" w:hAnsi="Arial" w:cs="Arial"/>
          <w:sz w:val="20"/>
          <w:szCs w:val="20"/>
        </w:rPr>
        <w:t xml:space="preserve">zmanjšanje zamud v letalskem prometu in </w:t>
      </w:r>
    </w:p>
    <w:p w:rsidR="00F244DF" w:rsidRPr="004D661A" w:rsidRDefault="00F244DF" w:rsidP="004D661A">
      <w:pPr>
        <w:numPr>
          <w:ilvl w:val="0"/>
          <w:numId w:val="11"/>
        </w:numPr>
        <w:ind w:left="426" w:hanging="349"/>
        <w:jc w:val="both"/>
        <w:rPr>
          <w:rFonts w:ascii="Arial" w:hAnsi="Arial" w:cs="Arial"/>
          <w:sz w:val="20"/>
          <w:szCs w:val="20"/>
        </w:rPr>
      </w:pPr>
      <w:r w:rsidRPr="004D661A">
        <w:rPr>
          <w:rFonts w:ascii="Arial" w:hAnsi="Arial" w:cs="Arial"/>
          <w:sz w:val="20"/>
          <w:szCs w:val="20"/>
        </w:rPr>
        <w:t>omogočanje čim bolj učinkovitega letalskega prometa EU.</w:t>
      </w:r>
    </w:p>
    <w:p w:rsidR="00F244DF" w:rsidRPr="00F244DF" w:rsidRDefault="00F244DF" w:rsidP="00F244DF">
      <w:pPr>
        <w:jc w:val="both"/>
        <w:rPr>
          <w:rFonts w:ascii="Arial" w:hAnsi="Arial" w:cs="Arial"/>
          <w:sz w:val="20"/>
          <w:szCs w:val="20"/>
        </w:rPr>
      </w:pPr>
    </w:p>
    <w:p w:rsidR="00F244DF" w:rsidRPr="00F244DF" w:rsidRDefault="00F244DF" w:rsidP="00F244DF">
      <w:pPr>
        <w:jc w:val="both"/>
        <w:rPr>
          <w:rFonts w:ascii="Arial" w:hAnsi="Arial" w:cs="Arial"/>
          <w:sz w:val="20"/>
          <w:szCs w:val="20"/>
        </w:rPr>
      </w:pPr>
      <w:r w:rsidRPr="00F244DF">
        <w:rPr>
          <w:rFonts w:ascii="Arial" w:hAnsi="Arial" w:cs="Arial"/>
          <w:sz w:val="20"/>
          <w:szCs w:val="20"/>
        </w:rPr>
        <w:t>Z namenom zagotavljanja navedenega cilja je ministrstvo pristopilo k projektu »Posodobitev letališke infrastrukture na letališču Maribor 2007-2013«, ki je delno financiran iz Evropskega sklada za regionalni razvoj. V okviru projekta je bil junija 2014 zgrajen in prevzet v obratovanje potniški terminal na Letališču Edvarda Rusjana Maribor (novogradnja objekta B in obnova objekta A).</w:t>
      </w:r>
    </w:p>
    <w:p w:rsidR="00F244DF" w:rsidRPr="00F244DF" w:rsidRDefault="00F244DF" w:rsidP="00F244DF">
      <w:pPr>
        <w:jc w:val="both"/>
        <w:rPr>
          <w:rFonts w:ascii="Arial" w:hAnsi="Arial" w:cs="Arial"/>
          <w:sz w:val="20"/>
          <w:szCs w:val="20"/>
        </w:rPr>
      </w:pPr>
    </w:p>
    <w:p w:rsidR="00F244DF" w:rsidRPr="009047E1" w:rsidRDefault="00F244DF" w:rsidP="009047E1">
      <w:pPr>
        <w:jc w:val="both"/>
        <w:rPr>
          <w:rFonts w:ascii="Arial" w:hAnsi="Arial" w:cs="Arial"/>
          <w:i/>
          <w:sz w:val="20"/>
          <w:szCs w:val="20"/>
        </w:rPr>
      </w:pPr>
      <w:r w:rsidRPr="009047E1">
        <w:rPr>
          <w:rFonts w:ascii="Arial" w:hAnsi="Arial" w:cs="Arial"/>
          <w:i/>
          <w:sz w:val="20"/>
          <w:szCs w:val="20"/>
        </w:rPr>
        <w:t>Gradnja, posodobitev in dograditev letališke infrastrukture</w:t>
      </w:r>
    </w:p>
    <w:p w:rsidR="00F244DF" w:rsidRPr="00F244DF" w:rsidRDefault="00F244DF" w:rsidP="00F244DF">
      <w:pPr>
        <w:jc w:val="both"/>
        <w:rPr>
          <w:rFonts w:ascii="Arial" w:hAnsi="Arial" w:cs="Arial"/>
          <w:sz w:val="20"/>
          <w:szCs w:val="20"/>
        </w:rPr>
      </w:pPr>
      <w:r w:rsidRPr="00F244DF">
        <w:rPr>
          <w:rFonts w:ascii="Arial" w:hAnsi="Arial" w:cs="Arial"/>
          <w:sz w:val="20"/>
          <w:szCs w:val="20"/>
        </w:rPr>
        <w:t>V okviru tega ukrepa gre za naložbe upravljavcev javnih letališč v gradnjo, posodobitev in dograditev letališke infrastrukture. Naložbe se izvajajo redno, skladno z operativnimi in drugimi potrebami letališča na podlagi predhodnih načrtov.</w:t>
      </w:r>
    </w:p>
    <w:p w:rsidR="00F244DF" w:rsidRPr="00F244DF" w:rsidRDefault="00F244DF" w:rsidP="00F244DF">
      <w:pPr>
        <w:jc w:val="both"/>
        <w:rPr>
          <w:rFonts w:ascii="Arial" w:hAnsi="Arial" w:cs="Arial"/>
          <w:sz w:val="20"/>
          <w:szCs w:val="20"/>
        </w:rPr>
      </w:pPr>
    </w:p>
    <w:p w:rsidR="00F244DF" w:rsidRPr="009047E1" w:rsidRDefault="00F244DF" w:rsidP="009047E1">
      <w:pPr>
        <w:jc w:val="both"/>
        <w:rPr>
          <w:rFonts w:ascii="Arial" w:hAnsi="Arial" w:cs="Arial"/>
          <w:i/>
          <w:sz w:val="20"/>
          <w:szCs w:val="20"/>
        </w:rPr>
      </w:pPr>
      <w:r w:rsidRPr="009047E1">
        <w:rPr>
          <w:rFonts w:ascii="Arial" w:hAnsi="Arial" w:cs="Arial"/>
          <w:i/>
          <w:sz w:val="20"/>
          <w:szCs w:val="20"/>
        </w:rPr>
        <w:t>Posodobitev infrastrukture, namenjene za druge dejavnosti, ki se izvajajo na javnih letališčih</w:t>
      </w:r>
    </w:p>
    <w:p w:rsidR="00F244DF" w:rsidRPr="00F244DF" w:rsidRDefault="00F244DF" w:rsidP="00F244DF">
      <w:pPr>
        <w:jc w:val="both"/>
        <w:rPr>
          <w:rFonts w:ascii="Arial" w:hAnsi="Arial" w:cs="Arial"/>
          <w:sz w:val="20"/>
          <w:szCs w:val="20"/>
        </w:rPr>
      </w:pPr>
      <w:r w:rsidRPr="00F244DF">
        <w:rPr>
          <w:rFonts w:ascii="Arial" w:hAnsi="Arial" w:cs="Arial"/>
          <w:sz w:val="20"/>
          <w:szCs w:val="20"/>
        </w:rPr>
        <w:t>V okviru tega ukrepa gre za naložbe upravljavcev javnih letališč v gradnjo, posodobitev in dograditev letališke infrastrukture. Naložbe se izvajajo redno, skladno z operativnimi in drugimi potrebami letališča na podlagi predhodnih načrtov.</w:t>
      </w:r>
    </w:p>
    <w:p w:rsidR="009047E1" w:rsidRPr="00F244DF" w:rsidRDefault="009047E1" w:rsidP="00F244DF">
      <w:pPr>
        <w:jc w:val="both"/>
        <w:rPr>
          <w:rFonts w:ascii="Arial" w:hAnsi="Arial" w:cs="Arial"/>
          <w:sz w:val="20"/>
          <w:szCs w:val="20"/>
        </w:rPr>
      </w:pPr>
    </w:p>
    <w:p w:rsidR="00F244DF" w:rsidRPr="009047E1" w:rsidRDefault="00F244DF" w:rsidP="009047E1">
      <w:pPr>
        <w:jc w:val="both"/>
        <w:rPr>
          <w:rFonts w:ascii="Arial" w:hAnsi="Arial" w:cs="Arial"/>
          <w:i/>
          <w:sz w:val="20"/>
          <w:szCs w:val="20"/>
        </w:rPr>
      </w:pPr>
      <w:r w:rsidRPr="009047E1">
        <w:rPr>
          <w:rFonts w:ascii="Arial" w:hAnsi="Arial" w:cs="Arial"/>
          <w:i/>
          <w:sz w:val="20"/>
          <w:szCs w:val="20"/>
        </w:rPr>
        <w:t>Gradnja potniškega terminala na Letališču Jožeta Pučnika Ljubljana</w:t>
      </w:r>
    </w:p>
    <w:p w:rsidR="00F244DF" w:rsidRPr="00F244DF" w:rsidRDefault="00F244DF" w:rsidP="00F244DF">
      <w:pPr>
        <w:jc w:val="both"/>
        <w:rPr>
          <w:rFonts w:ascii="Arial" w:hAnsi="Arial" w:cs="Arial"/>
          <w:sz w:val="20"/>
          <w:szCs w:val="20"/>
        </w:rPr>
      </w:pPr>
      <w:r w:rsidRPr="00F244DF">
        <w:rPr>
          <w:rFonts w:ascii="Arial" w:hAnsi="Arial" w:cs="Arial"/>
          <w:sz w:val="20"/>
          <w:szCs w:val="20"/>
        </w:rPr>
        <w:t xml:space="preserve">Zaradi nezmožnosti doseganja zadovoljivih kakovostnih standardov na Letališču Jožeta Pučnika Ljubljana je bila pred leti sprejeta odločitev o gradnji novega potniškega terminala, ki bi bil velik 31.200 kvadratnih metrov in imel zmogljivost 1.800 potnikov na uro. </w:t>
      </w:r>
    </w:p>
    <w:p w:rsidR="00F244DF" w:rsidRPr="00F244DF" w:rsidRDefault="00F244DF" w:rsidP="00F244DF">
      <w:pPr>
        <w:jc w:val="both"/>
        <w:rPr>
          <w:rFonts w:ascii="Arial" w:hAnsi="Arial" w:cs="Arial"/>
          <w:sz w:val="20"/>
          <w:szCs w:val="20"/>
        </w:rPr>
      </w:pPr>
    </w:p>
    <w:p w:rsidR="00F244DF" w:rsidRPr="00F244DF" w:rsidRDefault="00F244DF" w:rsidP="00F244DF">
      <w:pPr>
        <w:jc w:val="both"/>
        <w:rPr>
          <w:rFonts w:ascii="Arial" w:hAnsi="Arial" w:cs="Arial"/>
          <w:sz w:val="20"/>
          <w:szCs w:val="20"/>
        </w:rPr>
      </w:pPr>
      <w:r w:rsidRPr="00F244DF">
        <w:rPr>
          <w:rFonts w:ascii="Arial" w:hAnsi="Arial" w:cs="Arial"/>
          <w:sz w:val="20"/>
          <w:szCs w:val="20"/>
        </w:rPr>
        <w:t xml:space="preserve">V zvezi z gradnjo novega potniškega terminala na Letališču Jožeta Pučnika Ljubljana je bila v letu 2012 javno objavljena razpisna dokumentacija za prvo javno naročilo za izvedbo gradbenih in obrtniških del ter električne in strojne inštalacije. Mišljeno je bilo, da bo temu javnemu naročilu sledilo še sedem do deset drugih javnih naročila. Aerodroma Ljubljana, d.d. in Ministrstvo za infrastrukturo in prostor so 21.01.2013 tudi podpisali Pogodbo o sofinanciranju projekta izgradnje novega potniškega </w:t>
      </w:r>
      <w:r w:rsidRPr="00F244DF">
        <w:rPr>
          <w:rFonts w:ascii="Arial" w:hAnsi="Arial" w:cs="Arial"/>
          <w:sz w:val="20"/>
          <w:szCs w:val="20"/>
        </w:rPr>
        <w:lastRenderedPageBreak/>
        <w:t>terminala Letališča Jožeta Pučnika Ljubljana. Terminal naj bi bil zgrajen in predan v uporabo spomladi 2015.</w:t>
      </w:r>
    </w:p>
    <w:p w:rsidR="00F244DF" w:rsidRPr="00F244DF" w:rsidRDefault="00F244DF" w:rsidP="00F244DF">
      <w:pPr>
        <w:jc w:val="both"/>
        <w:rPr>
          <w:rFonts w:ascii="Arial" w:hAnsi="Arial" w:cs="Arial"/>
          <w:sz w:val="20"/>
          <w:szCs w:val="20"/>
        </w:rPr>
      </w:pPr>
    </w:p>
    <w:p w:rsidR="00F244DF" w:rsidRPr="00F244DF" w:rsidRDefault="00F244DF" w:rsidP="00F244DF">
      <w:pPr>
        <w:jc w:val="both"/>
        <w:rPr>
          <w:rFonts w:ascii="Arial" w:hAnsi="Arial" w:cs="Arial"/>
          <w:sz w:val="20"/>
          <w:szCs w:val="20"/>
        </w:rPr>
      </w:pPr>
      <w:r w:rsidRPr="00F244DF">
        <w:rPr>
          <w:rFonts w:ascii="Arial" w:hAnsi="Arial" w:cs="Arial"/>
          <w:sz w:val="20"/>
          <w:szCs w:val="20"/>
        </w:rPr>
        <w:t xml:space="preserve">Dne 16.09.2013 je na sedežu družbe Aerodrom Ljubljana, d.d. potekala 18. seja skupščine delničarjev. Delničarji so odločali o investiciji v nov potniški terminal, izvedbi revizije izkazov in skrbnega pregleda poslovanja. Skupščina ni izglasovala sklepa, ki bi podal soglasje k investiciji v novi potniški terminal. S tem je bila investicija zaključena. </w:t>
      </w:r>
    </w:p>
    <w:p w:rsidR="00F244DF" w:rsidRPr="00F244DF" w:rsidRDefault="00F244DF" w:rsidP="00F244DF">
      <w:pPr>
        <w:jc w:val="both"/>
        <w:rPr>
          <w:rFonts w:ascii="Arial" w:hAnsi="Arial" w:cs="Arial"/>
          <w:sz w:val="20"/>
          <w:szCs w:val="20"/>
        </w:rPr>
      </w:pPr>
    </w:p>
    <w:p w:rsidR="00F244DF" w:rsidRPr="00F244DF" w:rsidRDefault="00F244DF" w:rsidP="00F244DF">
      <w:pPr>
        <w:jc w:val="both"/>
        <w:rPr>
          <w:rFonts w:ascii="Arial" w:hAnsi="Arial" w:cs="Arial"/>
          <w:sz w:val="20"/>
          <w:szCs w:val="20"/>
        </w:rPr>
      </w:pPr>
      <w:r w:rsidRPr="00F244DF">
        <w:rPr>
          <w:rFonts w:ascii="Arial" w:hAnsi="Arial" w:cs="Arial"/>
          <w:sz w:val="20"/>
          <w:szCs w:val="20"/>
        </w:rPr>
        <w:t xml:space="preserve">Novi lastnik Aerodroma Ljubljana, d.o.o. ima trenutno v preverjanju strateške razvojne načrte letališča in koncept njegovega nadaljnjega razvoja. </w:t>
      </w:r>
    </w:p>
    <w:p w:rsidR="00F244DF" w:rsidRPr="00F244DF" w:rsidRDefault="00F244DF" w:rsidP="00F244DF">
      <w:pPr>
        <w:jc w:val="both"/>
        <w:rPr>
          <w:rFonts w:ascii="Arial" w:hAnsi="Arial" w:cs="Arial"/>
          <w:sz w:val="20"/>
          <w:szCs w:val="20"/>
        </w:rPr>
      </w:pPr>
    </w:p>
    <w:p w:rsidR="00F244DF" w:rsidRPr="009047E1" w:rsidRDefault="00F244DF" w:rsidP="009047E1">
      <w:pPr>
        <w:jc w:val="both"/>
        <w:rPr>
          <w:rFonts w:ascii="Arial" w:hAnsi="Arial" w:cs="Arial"/>
          <w:i/>
          <w:sz w:val="20"/>
          <w:szCs w:val="20"/>
        </w:rPr>
      </w:pPr>
      <w:r w:rsidRPr="009047E1">
        <w:rPr>
          <w:rFonts w:ascii="Arial" w:hAnsi="Arial" w:cs="Arial"/>
          <w:i/>
          <w:sz w:val="20"/>
          <w:szCs w:val="20"/>
        </w:rPr>
        <w:t>Gradnja tovornega terminala na Letališču Jožeta Pučnika Ljubljana</w:t>
      </w:r>
    </w:p>
    <w:p w:rsidR="00F244DF" w:rsidRPr="00F244DF" w:rsidRDefault="00F244DF" w:rsidP="00F244DF">
      <w:pPr>
        <w:jc w:val="both"/>
        <w:rPr>
          <w:rFonts w:ascii="Arial" w:hAnsi="Arial" w:cs="Arial"/>
          <w:sz w:val="20"/>
          <w:szCs w:val="20"/>
        </w:rPr>
      </w:pPr>
      <w:r w:rsidRPr="00F244DF">
        <w:rPr>
          <w:rFonts w:ascii="Arial" w:hAnsi="Arial" w:cs="Arial"/>
          <w:sz w:val="20"/>
          <w:szCs w:val="20"/>
        </w:rPr>
        <w:t xml:space="preserve">Z namenom izgradnje novega tovornega terminala na Letališču Jožeta Pučnika Ljubljana je ministrstvo v sodelovanju z Občino Cerklje na gorenjskem uskladilo občinski prostorski načrt, ki omogoča njegovo umestitev v prostor. </w:t>
      </w:r>
    </w:p>
    <w:p w:rsidR="00F244DF" w:rsidRPr="00F244DF" w:rsidRDefault="00F244DF" w:rsidP="00F244DF">
      <w:pPr>
        <w:jc w:val="both"/>
        <w:rPr>
          <w:rFonts w:ascii="Arial" w:hAnsi="Arial" w:cs="Arial"/>
          <w:sz w:val="20"/>
          <w:szCs w:val="20"/>
        </w:rPr>
      </w:pPr>
    </w:p>
    <w:p w:rsidR="00F244DF" w:rsidRPr="00F244DF" w:rsidRDefault="00F244DF" w:rsidP="00F244DF">
      <w:pPr>
        <w:jc w:val="both"/>
        <w:rPr>
          <w:rFonts w:ascii="Arial" w:hAnsi="Arial" w:cs="Arial"/>
          <w:sz w:val="20"/>
          <w:szCs w:val="20"/>
        </w:rPr>
      </w:pPr>
      <w:r w:rsidRPr="00F244DF">
        <w:rPr>
          <w:rFonts w:ascii="Arial" w:hAnsi="Arial" w:cs="Arial"/>
          <w:sz w:val="20"/>
          <w:szCs w:val="20"/>
        </w:rPr>
        <w:t xml:space="preserve">Ministrstvo za infrastrukturo je marca 2014 sklenilo Generalno pogodbo o medsebojnih odnosih in ustanovitvi stavbne pravice glede rabe določenih zemljišč na Letališču Jožeta Pučnika Ljubljana na podlagi katere je bila ustanovljena med drugim tudi stavbna pravica na določenih zemljiščih za izgradnjo tovornega terminala. </w:t>
      </w:r>
    </w:p>
    <w:p w:rsidR="00F244DF" w:rsidRPr="00F244DF" w:rsidRDefault="00F244DF" w:rsidP="00F244DF">
      <w:pPr>
        <w:jc w:val="both"/>
        <w:rPr>
          <w:rFonts w:ascii="Arial" w:hAnsi="Arial" w:cs="Arial"/>
          <w:sz w:val="20"/>
          <w:szCs w:val="20"/>
        </w:rPr>
      </w:pPr>
    </w:p>
    <w:p w:rsidR="00F244DF" w:rsidRPr="00F244DF" w:rsidRDefault="00F244DF" w:rsidP="00F244DF">
      <w:pPr>
        <w:jc w:val="both"/>
        <w:rPr>
          <w:rFonts w:ascii="Arial" w:hAnsi="Arial" w:cs="Arial"/>
          <w:sz w:val="20"/>
          <w:szCs w:val="20"/>
        </w:rPr>
      </w:pPr>
      <w:r w:rsidRPr="00F244DF">
        <w:rPr>
          <w:rFonts w:ascii="Arial" w:hAnsi="Arial" w:cs="Arial"/>
          <w:sz w:val="20"/>
          <w:szCs w:val="20"/>
        </w:rPr>
        <w:t xml:space="preserve">Novi lastnik Aerodroma Ljubljana, d.o.o. ima trenutno v preverjanju strateške razvojne načrte letališča in koncept njegovega nadaljnjega razvoja. </w:t>
      </w:r>
    </w:p>
    <w:p w:rsidR="00F244DF" w:rsidRPr="00F244DF" w:rsidRDefault="00F244DF" w:rsidP="00F244DF">
      <w:pPr>
        <w:jc w:val="both"/>
        <w:rPr>
          <w:rFonts w:ascii="Arial" w:hAnsi="Arial" w:cs="Arial"/>
          <w:sz w:val="20"/>
          <w:szCs w:val="20"/>
        </w:rPr>
      </w:pPr>
    </w:p>
    <w:p w:rsidR="00F244DF" w:rsidRPr="008C19E2" w:rsidRDefault="00E706C0" w:rsidP="00E706C0">
      <w:pPr>
        <w:pStyle w:val="Naslov3"/>
        <w:ind w:left="709" w:hanging="709"/>
      </w:pPr>
      <w:bookmarkStart w:id="30" w:name="_Toc456688579"/>
      <w:r>
        <w:t>4.5.2</w:t>
      </w:r>
      <w:r>
        <w:tab/>
      </w:r>
      <w:r w:rsidR="00F244DF" w:rsidRPr="008C19E2">
        <w:t>Gradnja železniške povezave do Letališča Jožeta Pučnika Ljubljana</w:t>
      </w:r>
      <w:bookmarkEnd w:id="30"/>
    </w:p>
    <w:p w:rsidR="00F244DF" w:rsidRPr="00F244DF" w:rsidRDefault="00F244DF" w:rsidP="00F244DF">
      <w:pPr>
        <w:jc w:val="both"/>
        <w:rPr>
          <w:rFonts w:ascii="Arial" w:hAnsi="Arial" w:cs="Arial"/>
          <w:sz w:val="20"/>
          <w:szCs w:val="20"/>
        </w:rPr>
      </w:pPr>
      <w:r w:rsidRPr="00F244DF">
        <w:rPr>
          <w:rFonts w:ascii="Arial" w:hAnsi="Arial" w:cs="Arial"/>
          <w:sz w:val="20"/>
          <w:szCs w:val="20"/>
        </w:rPr>
        <w:t>Za progo Ljubljana – Kranj – Jesenice – državna meja z navezavo na letališče Jožeta Pučnika Ljubljana je bil eden izmed ciljev prostorske ureditve tudi navezava Letališča Jožeta Pučnika Ljubljana na posodobljeno železniško infrastrukturo. V ta namen so bile pripravljene študije variant, ki so pokazale, da je priključitev letališča na progo Ljubljana – Kranj – Jesenice – državna meja okoljsko nesprejemljiva in investicijsko nerentabilna. Zaradi tega priključitev letališča na progo Ljubljana – Kranj – Jesenice – državna meja ni več v planu, ravno tako pa se varianta proge umika iz prvotno načrtovanega koridorja in se umešča vzporedno z obstoječo progo kot drugi tir. So pa trenutno v preučevanju druge možnosti za železniško povezavo letališča z Ljubljano (npr. preko Kamnika).</w:t>
      </w:r>
    </w:p>
    <w:p w:rsidR="00F244DF" w:rsidRPr="00F244DF" w:rsidRDefault="00F244DF" w:rsidP="00F244DF">
      <w:pPr>
        <w:jc w:val="both"/>
        <w:rPr>
          <w:rFonts w:ascii="Arial" w:hAnsi="Arial" w:cs="Arial"/>
          <w:sz w:val="20"/>
          <w:szCs w:val="20"/>
        </w:rPr>
      </w:pPr>
    </w:p>
    <w:p w:rsidR="00F244DF" w:rsidRPr="00F244DF" w:rsidRDefault="00F244DF" w:rsidP="00F244DF">
      <w:pPr>
        <w:jc w:val="both"/>
        <w:rPr>
          <w:rFonts w:ascii="Arial" w:hAnsi="Arial" w:cs="Arial"/>
          <w:sz w:val="20"/>
          <w:szCs w:val="20"/>
        </w:rPr>
      </w:pPr>
      <w:r w:rsidRPr="00F244DF">
        <w:rPr>
          <w:rFonts w:ascii="Arial" w:hAnsi="Arial" w:cs="Arial"/>
          <w:sz w:val="20"/>
          <w:szCs w:val="20"/>
        </w:rPr>
        <w:t>Vse aktivnosti na tem področju, ki jih je potrebno nadaljevati so zajete v Nacionalnem programu.</w:t>
      </w:r>
    </w:p>
    <w:p w:rsidR="00D91D1F" w:rsidRPr="009B45A5" w:rsidRDefault="00D91D1F" w:rsidP="00D91D1F">
      <w:pPr>
        <w:jc w:val="both"/>
        <w:rPr>
          <w:rFonts w:ascii="Arial" w:hAnsi="Arial" w:cs="Arial"/>
          <w:sz w:val="20"/>
          <w:szCs w:val="20"/>
        </w:rPr>
      </w:pPr>
    </w:p>
    <w:p w:rsidR="00D91D1F" w:rsidRPr="008661AD" w:rsidRDefault="00D91D1F" w:rsidP="00936357">
      <w:pPr>
        <w:pStyle w:val="Naslov"/>
        <w:numPr>
          <w:ilvl w:val="0"/>
          <w:numId w:val="24"/>
        </w:numPr>
        <w:ind w:left="567" w:hanging="567"/>
        <w:rPr>
          <w:rStyle w:val="Naslovknjige"/>
          <w:b/>
        </w:rPr>
      </w:pPr>
      <w:r w:rsidRPr="00D91D1F">
        <w:br w:type="page"/>
      </w:r>
      <w:bookmarkStart w:id="31" w:name="_Toc443029066"/>
      <w:bookmarkStart w:id="32" w:name="_Toc456688580"/>
      <w:r w:rsidRPr="008661AD">
        <w:rPr>
          <w:rStyle w:val="Naslovknjige"/>
          <w:b/>
        </w:rPr>
        <w:lastRenderedPageBreak/>
        <w:t>VSEBINA NACIONALNEGA PROGRAMA</w:t>
      </w:r>
      <w:bookmarkEnd w:id="31"/>
      <w:bookmarkEnd w:id="32"/>
    </w:p>
    <w:p w:rsidR="00D91D1F" w:rsidRPr="00D91D1F" w:rsidRDefault="00D91D1F" w:rsidP="00D91D1F">
      <w:pPr>
        <w:jc w:val="both"/>
        <w:rPr>
          <w:rFonts w:ascii="Arial" w:hAnsi="Arial" w:cs="Arial"/>
          <w:szCs w:val="22"/>
          <w:lang w:eastAsia="sl-SI"/>
        </w:rPr>
      </w:pPr>
    </w:p>
    <w:p w:rsidR="00D91D1F" w:rsidRPr="00E564A6" w:rsidRDefault="00D91D1F" w:rsidP="00D91D1F">
      <w:pPr>
        <w:jc w:val="both"/>
        <w:rPr>
          <w:rFonts w:ascii="Arial" w:hAnsi="Arial" w:cs="Arial"/>
          <w:sz w:val="20"/>
          <w:szCs w:val="22"/>
          <w:lang w:eastAsia="sl-SI"/>
        </w:rPr>
      </w:pPr>
      <w:r w:rsidRPr="00E564A6">
        <w:rPr>
          <w:rFonts w:ascii="Arial" w:hAnsi="Arial" w:cs="Arial"/>
          <w:sz w:val="20"/>
          <w:szCs w:val="22"/>
          <w:lang w:eastAsia="sl-SI"/>
        </w:rPr>
        <w:t>Nacionalni program, kot izvedbeni dokument, predvideva konkretne aktivnosti in je razdeljen na 2 dela, in sicer na področje:</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priprave in</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izvedbe.</w:t>
      </w:r>
    </w:p>
    <w:p w:rsidR="00D91D1F" w:rsidRPr="00E564A6" w:rsidRDefault="00D91D1F" w:rsidP="00D91D1F">
      <w:pPr>
        <w:jc w:val="both"/>
        <w:rPr>
          <w:rFonts w:ascii="Arial" w:hAnsi="Arial" w:cs="Arial"/>
          <w:sz w:val="20"/>
          <w:szCs w:val="22"/>
          <w:lang w:eastAsia="sl-SI"/>
        </w:rPr>
      </w:pPr>
    </w:p>
    <w:p w:rsidR="00D91D1F" w:rsidRPr="00E564A6" w:rsidRDefault="00D91D1F" w:rsidP="00D91D1F">
      <w:pPr>
        <w:jc w:val="both"/>
        <w:rPr>
          <w:rFonts w:ascii="Arial" w:hAnsi="Arial" w:cs="Arial"/>
          <w:sz w:val="20"/>
          <w:szCs w:val="22"/>
          <w:lang w:eastAsia="sl-SI"/>
        </w:rPr>
      </w:pPr>
      <w:r w:rsidRPr="00E564A6">
        <w:rPr>
          <w:rFonts w:ascii="Arial" w:hAnsi="Arial" w:cs="Arial"/>
          <w:sz w:val="20"/>
          <w:szCs w:val="22"/>
          <w:lang w:eastAsia="sl-SI"/>
        </w:rPr>
        <w:t>V prilogah, ki so sestavni del vsakega področja posebej,</w:t>
      </w:r>
      <w:r w:rsidRPr="00E564A6">
        <w:rPr>
          <w:rFonts w:ascii="Arial" w:hAnsi="Arial" w:cs="Arial"/>
          <w:color w:val="C00000"/>
          <w:sz w:val="20"/>
          <w:szCs w:val="22"/>
          <w:lang w:eastAsia="sl-SI"/>
        </w:rPr>
        <w:t xml:space="preserve"> </w:t>
      </w:r>
      <w:r w:rsidRPr="00E564A6">
        <w:rPr>
          <w:rFonts w:ascii="Arial" w:hAnsi="Arial" w:cs="Arial"/>
          <w:sz w:val="20"/>
          <w:szCs w:val="22"/>
          <w:lang w:eastAsia="sl-SI"/>
        </w:rPr>
        <w:t>so podane podrobnejše aktivnosti za posamezen ukrep, časovni okvir priprave in izvedbe, prav tako je podan nosilec aktivnosti. Podana je tudi povezava med različnimi ukrepi enega prometnega sistema (npr. železnic), lahko pa je podana tudi povezava med ukrepi na različnih področjih hkrati (npr. da mora konkretna aktivnost upoštevati ukrep na železnici, cesti, trajnostni mobilnosti). Navedena povezava je zelo pomembna, saj s tem ohranjamo Nacionalni program kot enovit dokument za vse dele prometnega sistema. Vsaki aktivnosti je bila dodeljena tudi ocena vrednosti priprave potrebne dokumentacije in izvedbe, in sicer na podlagi že izdelane dokumentacije za konkretno aktivnost ali na podlagi ocene za podobne aktivnosti. Ocene vrednosti so služile za izdelavo dinamike po posameznih področjih in so podane v nadaljevanju tega dokumenta.</w:t>
      </w:r>
    </w:p>
    <w:p w:rsidR="00D91D1F" w:rsidRPr="00E564A6" w:rsidRDefault="00D91D1F" w:rsidP="00D91D1F">
      <w:pPr>
        <w:rPr>
          <w:rFonts w:ascii="Arial" w:hAnsi="Arial" w:cs="Arial"/>
          <w:sz w:val="20"/>
          <w:szCs w:val="22"/>
          <w:lang w:eastAsia="sl-SI"/>
        </w:rPr>
      </w:pPr>
    </w:p>
    <w:p w:rsidR="00D91D1F" w:rsidRPr="00E564A6" w:rsidRDefault="00D91D1F" w:rsidP="00D91D1F">
      <w:pPr>
        <w:jc w:val="both"/>
        <w:rPr>
          <w:rFonts w:ascii="Arial" w:hAnsi="Arial" w:cs="Arial"/>
          <w:sz w:val="20"/>
          <w:szCs w:val="22"/>
          <w:lang w:eastAsia="sl-SI"/>
        </w:rPr>
      </w:pPr>
      <w:r w:rsidRPr="00E564A6">
        <w:rPr>
          <w:rFonts w:ascii="Arial" w:hAnsi="Arial" w:cs="Arial"/>
          <w:sz w:val="20"/>
          <w:szCs w:val="22"/>
          <w:lang w:eastAsia="sl-SI"/>
        </w:rPr>
        <w:t>Prioriteta izvedbe aktivnosti je določena na podlagi:</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 xml:space="preserve">zagotavljanja ustreznega standarda dostopnosti, </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okoljevarstvenih zahtev, varnosti v prometu in prometnih obremenitev, ugotovljenih z uporabo nacionalnega prometnega modela in na podlagi Okoljskega poročila za celovito presojo vplivov na okolje, uporabljenih oz. izdelanih za Strategijo in</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utemeljitev, usmeritev, vizije in ciljev iz Strategije.</w:t>
      </w:r>
    </w:p>
    <w:p w:rsidR="00D91D1F" w:rsidRPr="00E564A6" w:rsidRDefault="00D91D1F" w:rsidP="00D91D1F">
      <w:pPr>
        <w:jc w:val="both"/>
        <w:rPr>
          <w:rFonts w:ascii="Arial" w:hAnsi="Arial" w:cs="Arial"/>
          <w:sz w:val="20"/>
          <w:szCs w:val="22"/>
          <w:lang w:eastAsia="sl-SI"/>
        </w:rPr>
      </w:pPr>
    </w:p>
    <w:p w:rsidR="00D91D1F" w:rsidRPr="00E564A6" w:rsidRDefault="00D91D1F" w:rsidP="00D91D1F">
      <w:pPr>
        <w:jc w:val="both"/>
        <w:rPr>
          <w:rFonts w:ascii="Arial" w:hAnsi="Arial" w:cs="Arial"/>
          <w:sz w:val="20"/>
          <w:szCs w:val="22"/>
          <w:lang w:eastAsia="sl-SI"/>
        </w:rPr>
      </w:pPr>
      <w:r w:rsidRPr="00E564A6">
        <w:rPr>
          <w:rFonts w:ascii="Arial" w:hAnsi="Arial" w:cs="Arial"/>
          <w:sz w:val="20"/>
          <w:szCs w:val="22"/>
          <w:lang w:eastAsia="sl-SI"/>
        </w:rPr>
        <w:t>Nacionalni program sprejme Državni zbor RS na predlog Vlade RS.</w:t>
      </w:r>
    </w:p>
    <w:p w:rsidR="00D91D1F" w:rsidRPr="00E564A6" w:rsidRDefault="00D91D1F" w:rsidP="00D91D1F">
      <w:pPr>
        <w:jc w:val="both"/>
        <w:rPr>
          <w:rFonts w:ascii="Arial" w:hAnsi="Arial" w:cs="Arial"/>
          <w:sz w:val="20"/>
          <w:szCs w:val="22"/>
          <w:lang w:eastAsia="sl-SI"/>
        </w:rPr>
      </w:pPr>
    </w:p>
    <w:p w:rsidR="00D91D1F" w:rsidRPr="00E564A6" w:rsidRDefault="00D91D1F" w:rsidP="00D91D1F">
      <w:pPr>
        <w:jc w:val="both"/>
        <w:rPr>
          <w:rFonts w:ascii="Arial" w:hAnsi="Arial" w:cs="Arial"/>
          <w:sz w:val="20"/>
          <w:szCs w:val="22"/>
          <w:lang w:eastAsia="sl-SI"/>
        </w:rPr>
      </w:pPr>
      <w:r w:rsidRPr="00E564A6">
        <w:rPr>
          <w:rFonts w:ascii="Arial" w:hAnsi="Arial" w:cs="Arial"/>
          <w:sz w:val="20"/>
          <w:szCs w:val="22"/>
          <w:lang w:eastAsia="sl-SI"/>
        </w:rPr>
        <w:t xml:space="preserve">Za izvedbo investicij in vzdrževanje s področja državnih cest je določeno, da mora upravljavec upoštevati metodologijo za določitev prioritet in na podlagi tega oblikovati 6-letni načrt vlaganj na teh področjih (ukrepi na voziščih, podpornih in opornih konstrukcijah, zaščiti brežin, premostitvenih objektih, predorih, prometni opremi in signalizaciji …) ter v njem določiti prioritete izvedbe na infrastrukturi. </w:t>
      </w:r>
    </w:p>
    <w:p w:rsidR="00D91D1F" w:rsidRPr="00E564A6" w:rsidRDefault="00D91D1F" w:rsidP="00D91D1F">
      <w:pPr>
        <w:jc w:val="both"/>
        <w:rPr>
          <w:rFonts w:ascii="Arial" w:hAnsi="Arial" w:cs="Arial"/>
          <w:sz w:val="20"/>
          <w:szCs w:val="22"/>
          <w:lang w:eastAsia="sl-SI"/>
        </w:rPr>
      </w:pPr>
    </w:p>
    <w:p w:rsidR="00D91D1F" w:rsidRPr="00E564A6" w:rsidRDefault="00D91D1F" w:rsidP="00D91D1F">
      <w:pPr>
        <w:jc w:val="both"/>
        <w:rPr>
          <w:rFonts w:ascii="Arial" w:hAnsi="Arial" w:cs="Arial"/>
          <w:sz w:val="20"/>
          <w:szCs w:val="22"/>
          <w:lang w:eastAsia="sl-SI"/>
        </w:rPr>
      </w:pPr>
      <w:r w:rsidRPr="00E564A6">
        <w:rPr>
          <w:rFonts w:ascii="Arial" w:hAnsi="Arial" w:cs="Arial"/>
          <w:sz w:val="20"/>
          <w:szCs w:val="22"/>
          <w:lang w:eastAsia="sl-SI"/>
        </w:rPr>
        <w:t>Na področju investicij v železniško infrastrukturo se upošteva predpisana metodologija za področje javne železniške infrastrukture, ki opredeljuje elemente posameznih osnovnih meril in njihov razpon za investicije na glavnih in regionalnih progah, poleg tega so projekti na železniškem omrežju večinoma konkretno določeni že v prilogi Nacionalnega programa.</w:t>
      </w:r>
    </w:p>
    <w:p w:rsidR="00D91D1F" w:rsidRPr="00E564A6" w:rsidRDefault="00D91D1F" w:rsidP="00D91D1F">
      <w:pPr>
        <w:jc w:val="both"/>
        <w:rPr>
          <w:rFonts w:ascii="Arial" w:hAnsi="Arial" w:cs="Arial"/>
          <w:sz w:val="20"/>
          <w:szCs w:val="22"/>
          <w:lang w:eastAsia="sl-SI"/>
        </w:rPr>
      </w:pPr>
    </w:p>
    <w:p w:rsidR="00D91D1F" w:rsidRPr="00E564A6" w:rsidRDefault="00D91D1F" w:rsidP="00D91D1F">
      <w:pPr>
        <w:jc w:val="both"/>
        <w:rPr>
          <w:rFonts w:ascii="Arial" w:hAnsi="Arial" w:cs="Arial"/>
          <w:sz w:val="20"/>
          <w:szCs w:val="22"/>
          <w:lang w:eastAsia="sl-SI"/>
        </w:rPr>
      </w:pPr>
      <w:r w:rsidRPr="00E564A6">
        <w:rPr>
          <w:rFonts w:ascii="Arial" w:hAnsi="Arial" w:cs="Arial"/>
          <w:sz w:val="20"/>
          <w:szCs w:val="22"/>
          <w:lang w:eastAsia="sl-SI"/>
        </w:rPr>
        <w:t>V 6-letni načrt vlaganj je potrebno vključiti tudi ukrepe oz. aktivnosti nacionalnega pomena, ki so v prilogi Nacionalnega programa poimensko (eksplicitno) navedene in slediti tam začrtanemu terminskemu planu. Poleg cest in železnic to velja tudi za ukrepe oz. aktivnosti na področju trajnostne mobilnosti, letalstva in pomorstva, skladno s pristojnostmi Vlade RS oz. ministrstva pristojnega za promet. 6-letni operativni načrt mora vsebovati podrobne opise aktivnosti</w:t>
      </w:r>
      <w:r w:rsidR="00273EC6">
        <w:rPr>
          <w:rFonts w:ascii="Arial" w:hAnsi="Arial" w:cs="Arial"/>
          <w:sz w:val="20"/>
          <w:szCs w:val="22"/>
          <w:lang w:eastAsia="sl-SI"/>
        </w:rPr>
        <w:t>, nosilce, stroške in terminski</w:t>
      </w:r>
      <w:r w:rsidRPr="00E564A6">
        <w:rPr>
          <w:rFonts w:ascii="Arial" w:hAnsi="Arial" w:cs="Arial"/>
          <w:sz w:val="20"/>
          <w:szCs w:val="22"/>
          <w:lang w:eastAsia="sl-SI"/>
        </w:rPr>
        <w:t xml:space="preserve"> načrt izvedbe.</w:t>
      </w:r>
    </w:p>
    <w:p w:rsidR="00D91D1F" w:rsidRPr="00E564A6" w:rsidRDefault="00D91D1F" w:rsidP="00D91D1F">
      <w:pPr>
        <w:jc w:val="both"/>
        <w:rPr>
          <w:rFonts w:ascii="Arial" w:hAnsi="Arial" w:cs="Arial"/>
          <w:sz w:val="20"/>
          <w:szCs w:val="22"/>
          <w:lang w:eastAsia="sl-SI"/>
        </w:rPr>
      </w:pPr>
    </w:p>
    <w:p w:rsidR="00D91D1F" w:rsidRPr="00E564A6" w:rsidRDefault="00D91D1F" w:rsidP="00D91D1F">
      <w:pPr>
        <w:jc w:val="both"/>
        <w:rPr>
          <w:rFonts w:ascii="Arial" w:hAnsi="Arial" w:cs="Arial"/>
          <w:sz w:val="20"/>
          <w:szCs w:val="22"/>
          <w:lang w:eastAsia="sl-SI"/>
        </w:rPr>
      </w:pPr>
      <w:r w:rsidRPr="00E564A6">
        <w:rPr>
          <w:rFonts w:ascii="Arial" w:hAnsi="Arial" w:cs="Arial"/>
          <w:sz w:val="20"/>
          <w:szCs w:val="22"/>
          <w:lang w:eastAsia="sl-SI"/>
        </w:rPr>
        <w:t xml:space="preserve">Tako pripravljen program je osnova za 6-letni operativni načrt, ki ga na podlagi predlogov upravljavcev in na podlagi svojih pristojnosti pripravi ministrstvo, pristojno za promet in ga predloži v sprejem Vladi RS. </w:t>
      </w:r>
    </w:p>
    <w:p w:rsidR="00D91D1F" w:rsidRPr="00E564A6" w:rsidRDefault="00D91D1F" w:rsidP="00D91D1F">
      <w:pPr>
        <w:jc w:val="both"/>
        <w:rPr>
          <w:rFonts w:ascii="Arial" w:hAnsi="Arial" w:cs="Arial"/>
          <w:sz w:val="20"/>
          <w:szCs w:val="22"/>
          <w:lang w:eastAsia="sl-SI"/>
        </w:rPr>
      </w:pPr>
    </w:p>
    <w:p w:rsidR="00D91D1F" w:rsidRPr="00E564A6" w:rsidRDefault="00D91D1F" w:rsidP="00D91D1F">
      <w:pPr>
        <w:jc w:val="both"/>
        <w:rPr>
          <w:rFonts w:ascii="Arial" w:hAnsi="Arial" w:cs="Arial"/>
          <w:sz w:val="20"/>
          <w:szCs w:val="22"/>
          <w:lang w:eastAsia="sl-SI"/>
        </w:rPr>
      </w:pPr>
      <w:r w:rsidRPr="00E564A6">
        <w:rPr>
          <w:rFonts w:ascii="Arial" w:hAnsi="Arial" w:cs="Arial"/>
          <w:sz w:val="20"/>
          <w:szCs w:val="22"/>
          <w:lang w:eastAsia="sl-SI"/>
        </w:rPr>
        <w:t xml:space="preserve">6-letni načrt morajo upravljavci redno spremljati in ga vsako leto novelirati ter ga predložiti ministrstvu, pristojnemu za promet, ta pa ponovno v potrditev Vladi RS (drsni plan). </w:t>
      </w:r>
    </w:p>
    <w:p w:rsidR="00D91D1F" w:rsidRPr="00E564A6" w:rsidRDefault="00D91D1F" w:rsidP="00D91D1F">
      <w:pPr>
        <w:jc w:val="both"/>
        <w:rPr>
          <w:rFonts w:ascii="Arial" w:hAnsi="Arial" w:cs="Arial"/>
          <w:sz w:val="20"/>
          <w:szCs w:val="22"/>
          <w:lang w:eastAsia="sl-SI"/>
        </w:rPr>
      </w:pPr>
    </w:p>
    <w:p w:rsidR="00D91D1F" w:rsidRPr="00E564A6" w:rsidRDefault="00D91D1F" w:rsidP="00D91D1F">
      <w:pPr>
        <w:jc w:val="both"/>
        <w:rPr>
          <w:rFonts w:ascii="Arial" w:hAnsi="Arial" w:cs="Arial"/>
          <w:sz w:val="20"/>
          <w:szCs w:val="22"/>
          <w:lang w:eastAsia="sl-SI"/>
        </w:rPr>
      </w:pPr>
      <w:r w:rsidRPr="00E564A6">
        <w:rPr>
          <w:rFonts w:ascii="Arial" w:hAnsi="Arial" w:cs="Arial"/>
          <w:sz w:val="20"/>
          <w:szCs w:val="22"/>
          <w:lang w:eastAsia="sl-SI"/>
        </w:rPr>
        <w:t xml:space="preserve">Prvi 6-letni operativni načrt mora biti pripravljen in sprejet na Vladi RS v roku 6 mesecev od objave Nacionalnega programa v Uradnem listu RS. </w:t>
      </w:r>
    </w:p>
    <w:p w:rsidR="00D91D1F" w:rsidRPr="00E564A6" w:rsidRDefault="00D91D1F" w:rsidP="00D91D1F">
      <w:pPr>
        <w:jc w:val="both"/>
        <w:rPr>
          <w:rFonts w:ascii="Arial" w:hAnsi="Arial" w:cs="Arial"/>
          <w:sz w:val="20"/>
          <w:szCs w:val="22"/>
          <w:highlight w:val="yellow"/>
          <w:lang w:eastAsia="sl-SI"/>
        </w:rPr>
      </w:pPr>
    </w:p>
    <w:p w:rsidR="00D91D1F" w:rsidRPr="00E564A6" w:rsidRDefault="00D91D1F" w:rsidP="00D91D1F">
      <w:pPr>
        <w:rPr>
          <w:rFonts w:ascii="Arial" w:hAnsi="Arial" w:cs="Arial"/>
          <w:sz w:val="20"/>
          <w:szCs w:val="22"/>
          <w:lang w:eastAsia="sl-SI"/>
        </w:rPr>
      </w:pPr>
      <w:r w:rsidRPr="00E564A6">
        <w:rPr>
          <w:rFonts w:ascii="Arial" w:hAnsi="Arial" w:cs="Arial"/>
          <w:sz w:val="20"/>
          <w:szCs w:val="22"/>
          <w:lang w:eastAsia="sl-SI"/>
        </w:rPr>
        <w:t>V Nacionalnem programu je podana dinamika vlaganj po posameznih področjih prometa, in sicer za:</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cestni promet,</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železniški promet,</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lastRenderedPageBreak/>
        <w:t>trajnostno mobilnost,</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vodni promet in</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zračni promet.</w:t>
      </w:r>
    </w:p>
    <w:p w:rsidR="00D91D1F" w:rsidRPr="00E564A6" w:rsidRDefault="00D91D1F" w:rsidP="00D91D1F">
      <w:pPr>
        <w:rPr>
          <w:rFonts w:ascii="Arial" w:hAnsi="Arial" w:cs="Arial"/>
          <w:sz w:val="20"/>
        </w:rPr>
      </w:pPr>
    </w:p>
    <w:p w:rsidR="00D91D1F" w:rsidRPr="00E564A6" w:rsidRDefault="00D91D1F" w:rsidP="00D91D1F">
      <w:pPr>
        <w:pStyle w:val="Odstavekseznama"/>
        <w:suppressAutoHyphens w:val="0"/>
        <w:ind w:left="0"/>
        <w:jc w:val="both"/>
        <w:rPr>
          <w:rFonts w:ascii="Arial" w:hAnsi="Arial" w:cs="Arial"/>
          <w:sz w:val="20"/>
          <w:szCs w:val="22"/>
          <w:lang w:eastAsia="sl-SI"/>
        </w:rPr>
      </w:pPr>
      <w:r w:rsidRPr="00E564A6">
        <w:rPr>
          <w:rFonts w:ascii="Arial" w:hAnsi="Arial" w:cs="Arial"/>
          <w:sz w:val="20"/>
          <w:szCs w:val="22"/>
          <w:lang w:eastAsia="sl-SI"/>
        </w:rPr>
        <w:t>Preglednice v nadaljevanju tega dokumenta temeljijo na indikativnih načrtih po posameznih področjih in vsebujejo podatke o potrebnih vlaganjih s strani nosilcev:</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države (MzI in DRSI),</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DARS-a,</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Luke Koper ali druge pravne osebe ali organa, ki upravlja in vodi pristanišče v Kopru in</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zasebnih investitorjev/občin.</w:t>
      </w:r>
    </w:p>
    <w:p w:rsidR="00D91D1F" w:rsidRPr="00E564A6" w:rsidRDefault="00D91D1F" w:rsidP="00D91D1F">
      <w:pPr>
        <w:pStyle w:val="Odstavekseznama"/>
        <w:suppressAutoHyphens w:val="0"/>
        <w:ind w:left="0"/>
        <w:jc w:val="both"/>
        <w:rPr>
          <w:rFonts w:ascii="Arial" w:hAnsi="Arial" w:cs="Arial"/>
          <w:sz w:val="20"/>
          <w:szCs w:val="22"/>
          <w:lang w:eastAsia="sl-SI"/>
        </w:rPr>
      </w:pPr>
    </w:p>
    <w:p w:rsidR="00D91D1F" w:rsidRPr="00E564A6" w:rsidRDefault="00D91D1F" w:rsidP="00D91D1F">
      <w:pPr>
        <w:pStyle w:val="Odstavekseznama"/>
        <w:suppressAutoHyphens w:val="0"/>
        <w:ind w:left="0"/>
        <w:jc w:val="both"/>
        <w:rPr>
          <w:rFonts w:ascii="Arial" w:hAnsi="Arial" w:cs="Arial"/>
          <w:sz w:val="20"/>
          <w:szCs w:val="22"/>
          <w:lang w:eastAsia="sl-SI"/>
        </w:rPr>
      </w:pPr>
      <w:r w:rsidRPr="00E564A6">
        <w:rPr>
          <w:rFonts w:ascii="Arial" w:hAnsi="Arial" w:cs="Arial"/>
          <w:sz w:val="20"/>
          <w:szCs w:val="22"/>
          <w:lang w:eastAsia="sl-SI"/>
        </w:rPr>
        <w:t>Posebej je v preglednici prikazan tudi predvideni strošek, ki bi ga bilo treba letno zagotoviti za redno vzdrževanje, obvezne gospodarske javne službe (OGJS), subvencije in kompenzacije.</w:t>
      </w:r>
    </w:p>
    <w:p w:rsidR="00D91D1F" w:rsidRPr="00E564A6" w:rsidRDefault="00D91D1F" w:rsidP="00D91D1F">
      <w:pPr>
        <w:rPr>
          <w:rFonts w:ascii="Arial" w:hAnsi="Arial" w:cs="Arial"/>
          <w:sz w:val="20"/>
        </w:rPr>
      </w:pPr>
    </w:p>
    <w:p w:rsidR="00D91D1F" w:rsidRPr="00E564A6" w:rsidRDefault="00D91D1F" w:rsidP="00D91D1F">
      <w:pPr>
        <w:pStyle w:val="Odstavekseznama"/>
        <w:suppressAutoHyphens w:val="0"/>
        <w:ind w:left="0"/>
        <w:jc w:val="both"/>
        <w:rPr>
          <w:rFonts w:ascii="Arial" w:hAnsi="Arial" w:cs="Arial"/>
          <w:sz w:val="20"/>
          <w:szCs w:val="22"/>
          <w:lang w:eastAsia="sl-SI"/>
        </w:rPr>
      </w:pPr>
      <w:r w:rsidRPr="00E564A6">
        <w:rPr>
          <w:rFonts w:ascii="Arial" w:hAnsi="Arial" w:cs="Arial"/>
          <w:sz w:val="20"/>
          <w:szCs w:val="22"/>
          <w:lang w:eastAsia="sl-SI"/>
        </w:rPr>
        <w:t>Za državne investicije so predvidena vlaganja po letih skladna s predvidenimi oz. pričakovanimi viri državnega proračuna in v povprečju znašajo cca 730 mio EUR/leto (vključno s predvidenimi sredstvi EU, subvencijami, kompenzacijami in rednim vzdrževanjem).</w:t>
      </w:r>
    </w:p>
    <w:p w:rsidR="00D91D1F" w:rsidRPr="00E564A6" w:rsidRDefault="00D91D1F" w:rsidP="00D91D1F">
      <w:pPr>
        <w:pStyle w:val="Odstavekseznama"/>
        <w:suppressAutoHyphens w:val="0"/>
        <w:ind w:left="0"/>
        <w:jc w:val="both"/>
        <w:rPr>
          <w:rFonts w:ascii="Arial" w:hAnsi="Arial" w:cs="Arial"/>
          <w:sz w:val="20"/>
          <w:szCs w:val="22"/>
          <w:lang w:eastAsia="sl-SI"/>
        </w:rPr>
      </w:pPr>
    </w:p>
    <w:p w:rsidR="00D91D1F" w:rsidRPr="00E564A6" w:rsidRDefault="00D91D1F" w:rsidP="00D91D1F">
      <w:pPr>
        <w:pStyle w:val="Odstavekseznama"/>
        <w:suppressAutoHyphens w:val="0"/>
        <w:ind w:left="0"/>
        <w:jc w:val="both"/>
        <w:rPr>
          <w:rFonts w:ascii="Arial" w:hAnsi="Arial" w:cs="Arial"/>
          <w:sz w:val="20"/>
          <w:szCs w:val="22"/>
          <w:lang w:eastAsia="sl-SI"/>
        </w:rPr>
      </w:pPr>
      <w:r w:rsidRPr="00E564A6">
        <w:rPr>
          <w:rFonts w:ascii="Arial" w:hAnsi="Arial" w:cs="Arial"/>
          <w:sz w:val="20"/>
          <w:szCs w:val="22"/>
          <w:lang w:eastAsia="sl-SI"/>
        </w:rPr>
        <w:t xml:space="preserve">Iz skupne načrtovane dinamike vlaganj v prometno infrastrukturo in delovanje sistema v obdobju EU finančne perspektive 2014–2020 je razvidno, da je najmanj vlaganj predvideno v letu 2016, ko je za projekte, ki so skladni z ukrepi Strategije, treba najprej pripraviti vso dokumentacijo. Izvedbena faza je najmočnejša v letih 2018–2019, ko se predvidena oz. načrtovana vlaganja gibljejo v okvirih potrebnih virov, ki morajo biti za državo vzdržni, stalni in čim bolj konstantni. Zagotovitev virov skozi daljše časovno obdobje bo tudi zakonsko podprto, s čimer se zagotavlja stabilen in enakomeren vir za razvoj in vzdrževanje obstoječe infrastrukture. </w:t>
      </w:r>
    </w:p>
    <w:p w:rsidR="00D91D1F" w:rsidRPr="00E564A6" w:rsidRDefault="00D91D1F" w:rsidP="00D91D1F">
      <w:pPr>
        <w:rPr>
          <w:rFonts w:ascii="Arial" w:hAnsi="Arial" w:cs="Arial"/>
          <w:sz w:val="20"/>
        </w:rPr>
      </w:pPr>
    </w:p>
    <w:p w:rsidR="00D91D1F" w:rsidRPr="00E564A6" w:rsidRDefault="00D91D1F" w:rsidP="00D91D1F">
      <w:pPr>
        <w:pStyle w:val="Odstavekseznama"/>
        <w:suppressAutoHyphens w:val="0"/>
        <w:ind w:left="0"/>
        <w:jc w:val="both"/>
        <w:rPr>
          <w:rFonts w:ascii="Arial" w:hAnsi="Arial" w:cs="Arial"/>
          <w:sz w:val="20"/>
          <w:szCs w:val="22"/>
          <w:lang w:eastAsia="sl-SI"/>
        </w:rPr>
      </w:pPr>
      <w:r w:rsidRPr="00E564A6">
        <w:rPr>
          <w:rFonts w:ascii="Arial" w:hAnsi="Arial" w:cs="Arial"/>
          <w:sz w:val="20"/>
          <w:szCs w:val="22"/>
          <w:lang w:eastAsia="sl-SI"/>
        </w:rPr>
        <w:t>V spodnji tabeli so prikazana vsa predvidena vlaganja v prometno infrastrukturo, skupaj s potrebnimi vlaganji v obstoječo infrastrukturo (vzdrževanje), subvencijami in kompenzacijami ter vodenjem prometa. V nadaljnjih točkah dokumenta pa so prikazana potrebna sredstva po področjih prometa (ceste, železnice, letalstvo, pomorstvo in trajnostna mobilnost).</w:t>
      </w:r>
    </w:p>
    <w:p w:rsidR="00D91D1F" w:rsidRPr="00E564A6" w:rsidRDefault="00D91D1F" w:rsidP="00D91D1F">
      <w:pPr>
        <w:pStyle w:val="Odstavekseznama"/>
        <w:suppressAutoHyphens w:val="0"/>
        <w:ind w:left="0"/>
        <w:jc w:val="both"/>
        <w:rPr>
          <w:rFonts w:ascii="Arial" w:hAnsi="Arial" w:cs="Arial"/>
          <w:sz w:val="20"/>
          <w:szCs w:val="22"/>
          <w:lang w:eastAsia="sl-SI"/>
        </w:rPr>
      </w:pPr>
    </w:p>
    <w:p w:rsidR="00D91D1F" w:rsidRPr="00E564A6" w:rsidRDefault="00D91D1F" w:rsidP="00D91D1F">
      <w:pPr>
        <w:pStyle w:val="Odstavekseznama"/>
        <w:suppressAutoHyphens w:val="0"/>
        <w:ind w:left="0"/>
        <w:jc w:val="both"/>
        <w:rPr>
          <w:rFonts w:ascii="Arial" w:hAnsi="Arial" w:cs="Arial"/>
          <w:sz w:val="20"/>
          <w:szCs w:val="22"/>
          <w:lang w:eastAsia="sl-SI"/>
        </w:rPr>
      </w:pPr>
      <w:r w:rsidRPr="00E564A6">
        <w:rPr>
          <w:rFonts w:ascii="Arial" w:hAnsi="Arial" w:cs="Arial"/>
          <w:sz w:val="20"/>
          <w:szCs w:val="22"/>
          <w:lang w:eastAsia="sl-SI"/>
        </w:rPr>
        <w:t>V skupni tabeli so podana vlaganja države po letih vključno s predvidenimi EU sredstvi. Skupaj je za vsa področja predvideno sofinanciranje z EU sredstvi v ocenjeni višini 620 mio EUR. Dodatno k temu si bo ministrstvo prizadevalo, da bo EU sredstva pridobilo tudi za investicijo projekta II. tir Divača–Koper.</w:t>
      </w:r>
    </w:p>
    <w:p w:rsidR="00D91D1F" w:rsidRPr="00D91D1F" w:rsidRDefault="00D91D1F" w:rsidP="00D91D1F">
      <w:pPr>
        <w:pStyle w:val="Odstavekseznama"/>
        <w:suppressAutoHyphens w:val="0"/>
        <w:ind w:left="0"/>
        <w:jc w:val="both"/>
        <w:rPr>
          <w:rFonts w:ascii="Arial" w:hAnsi="Arial" w:cs="Arial"/>
        </w:rPr>
        <w:sectPr w:rsidR="00D91D1F" w:rsidRPr="00D91D1F" w:rsidSect="008661AD">
          <w:headerReference w:type="default" r:id="rId21"/>
          <w:footerReference w:type="default" r:id="rId22"/>
          <w:pgSz w:w="11906" w:h="16838"/>
          <w:pgMar w:top="1417" w:right="1417" w:bottom="1417" w:left="1417" w:header="708" w:footer="708" w:gutter="0"/>
          <w:cols w:space="708"/>
          <w:titlePg/>
          <w:docGrid w:linePitch="360"/>
        </w:sectPr>
      </w:pPr>
    </w:p>
    <w:p w:rsidR="00D91D1F" w:rsidRDefault="00D91D1F" w:rsidP="00D91D1F">
      <w:pPr>
        <w:pStyle w:val="Odstavekseznama"/>
        <w:suppressAutoHyphens w:val="0"/>
        <w:ind w:left="0"/>
        <w:jc w:val="both"/>
        <w:rPr>
          <w:rFonts w:ascii="Arial" w:hAnsi="Arial" w:cs="Arial"/>
          <w:sz w:val="20"/>
          <w:szCs w:val="20"/>
          <w:lang w:eastAsia="sl-SI"/>
        </w:rPr>
      </w:pPr>
      <w:r w:rsidRPr="00E564A6">
        <w:rPr>
          <w:rFonts w:ascii="Arial" w:hAnsi="Arial" w:cs="Arial"/>
          <w:sz w:val="20"/>
          <w:szCs w:val="20"/>
        </w:rPr>
        <w:lastRenderedPageBreak/>
        <w:t>Tabela 5</w:t>
      </w:r>
      <w:r w:rsidRPr="00E564A6">
        <w:rPr>
          <w:rFonts w:ascii="Arial" w:hAnsi="Arial" w:cs="Arial"/>
          <w:sz w:val="20"/>
          <w:szCs w:val="20"/>
        </w:rPr>
        <w:noBreakHyphen/>
        <w:t>1</w:t>
      </w:r>
      <w:r w:rsidRPr="00E564A6">
        <w:rPr>
          <w:rFonts w:ascii="Arial" w:hAnsi="Arial" w:cs="Arial"/>
          <w:sz w:val="20"/>
          <w:szCs w:val="20"/>
          <w:lang w:eastAsia="sl-SI"/>
        </w:rPr>
        <w:t>: Pregled vlaganj za vsa področja prometa za investicijsko vzdrževanje in investicije (v mio EUR)</w:t>
      </w:r>
      <w:r w:rsidR="00894733">
        <w:rPr>
          <w:rStyle w:val="Sprotnaopomba-sklic"/>
          <w:rFonts w:ascii="Arial" w:hAnsi="Arial" w:cs="Arial"/>
          <w:sz w:val="20"/>
          <w:szCs w:val="20"/>
          <w:lang w:eastAsia="sl-SI"/>
        </w:rPr>
        <w:footnoteReference w:id="3"/>
      </w:r>
      <w:r w:rsidRPr="00E564A6">
        <w:rPr>
          <w:rFonts w:ascii="Arial" w:hAnsi="Arial" w:cs="Arial"/>
          <w:sz w:val="20"/>
          <w:szCs w:val="20"/>
          <w:lang w:eastAsia="sl-SI"/>
        </w:rPr>
        <w:t>, vključno z JZP</w:t>
      </w:r>
    </w:p>
    <w:tbl>
      <w:tblPr>
        <w:tblW w:w="13380" w:type="dxa"/>
        <w:tblInd w:w="55" w:type="dxa"/>
        <w:tblCellMar>
          <w:left w:w="70" w:type="dxa"/>
          <w:right w:w="70" w:type="dxa"/>
        </w:tblCellMar>
        <w:tblLook w:val="04A0" w:firstRow="1" w:lastRow="0" w:firstColumn="1" w:lastColumn="0" w:noHBand="0" w:noVBand="1"/>
      </w:tblPr>
      <w:tblGrid>
        <w:gridCol w:w="4120"/>
        <w:gridCol w:w="960"/>
        <w:gridCol w:w="960"/>
        <w:gridCol w:w="960"/>
        <w:gridCol w:w="960"/>
        <w:gridCol w:w="960"/>
        <w:gridCol w:w="960"/>
        <w:gridCol w:w="1020"/>
        <w:gridCol w:w="1240"/>
        <w:gridCol w:w="1240"/>
      </w:tblGrid>
      <w:tr w:rsidR="00C5699D" w:rsidRPr="00C5699D" w:rsidTr="00C5699D">
        <w:trPr>
          <w:trHeight w:val="450"/>
        </w:trPr>
        <w:tc>
          <w:tcPr>
            <w:tcW w:w="41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5699D" w:rsidRPr="00C5699D" w:rsidRDefault="00C5699D" w:rsidP="00C5699D">
            <w:pPr>
              <w:suppressAutoHyphens w:val="0"/>
              <w:rPr>
                <w:rFonts w:ascii="Arial" w:hAnsi="Arial" w:cs="Arial"/>
                <w:b/>
                <w:bCs/>
                <w:sz w:val="16"/>
                <w:szCs w:val="16"/>
                <w:lang w:eastAsia="sl-SI"/>
              </w:rPr>
            </w:pPr>
            <w:r w:rsidRPr="00C5699D">
              <w:rPr>
                <w:rFonts w:ascii="Arial" w:hAnsi="Arial" w:cs="Arial"/>
                <w:b/>
                <w:bCs/>
                <w:sz w:val="16"/>
                <w:szCs w:val="16"/>
                <w:lang w:eastAsia="sl-SI"/>
              </w:rPr>
              <w:t>Skupaj po področjih</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2016</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2017</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2018</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2019</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2020</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2021</w:t>
            </w:r>
          </w:p>
        </w:tc>
        <w:tc>
          <w:tcPr>
            <w:tcW w:w="1020" w:type="dxa"/>
            <w:tcBorders>
              <w:top w:val="single" w:sz="4" w:space="0" w:color="auto"/>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2022</w:t>
            </w:r>
          </w:p>
        </w:tc>
        <w:tc>
          <w:tcPr>
            <w:tcW w:w="1240" w:type="dxa"/>
            <w:tcBorders>
              <w:top w:val="single" w:sz="4" w:space="0" w:color="auto"/>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Skupaj 2016-2022</w:t>
            </w:r>
          </w:p>
        </w:tc>
        <w:tc>
          <w:tcPr>
            <w:tcW w:w="1240" w:type="dxa"/>
            <w:tcBorders>
              <w:top w:val="single" w:sz="4" w:space="0" w:color="auto"/>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Skupaj 2023-2030</w:t>
            </w:r>
          </w:p>
        </w:tc>
      </w:tr>
      <w:tr w:rsidR="00C5699D" w:rsidRPr="00C5699D" w:rsidTr="00C5699D">
        <w:trPr>
          <w:trHeight w:val="225"/>
        </w:trPr>
        <w:tc>
          <w:tcPr>
            <w:tcW w:w="4120" w:type="dxa"/>
            <w:tcBorders>
              <w:top w:val="nil"/>
              <w:left w:val="single" w:sz="4" w:space="0" w:color="auto"/>
              <w:bottom w:val="single" w:sz="4" w:space="0" w:color="auto"/>
              <w:right w:val="single" w:sz="4" w:space="0" w:color="auto"/>
            </w:tcBorders>
            <w:shd w:val="clear" w:color="auto" w:fill="auto"/>
            <w:vAlign w:val="center"/>
            <w:hideMark/>
          </w:tcPr>
          <w:p w:rsidR="00C5699D" w:rsidRPr="00C5699D" w:rsidRDefault="00C5699D" w:rsidP="00C5699D">
            <w:pPr>
              <w:suppressAutoHyphens w:val="0"/>
              <w:rPr>
                <w:rFonts w:ascii="Arial" w:hAnsi="Arial" w:cs="Arial"/>
                <w:b/>
                <w:bCs/>
                <w:sz w:val="16"/>
                <w:szCs w:val="16"/>
                <w:lang w:eastAsia="sl-SI"/>
              </w:rPr>
            </w:pPr>
            <w:r w:rsidRPr="00C5699D">
              <w:rPr>
                <w:rFonts w:ascii="Arial" w:hAnsi="Arial" w:cs="Arial"/>
                <w:b/>
                <w:bCs/>
                <w:sz w:val="16"/>
                <w:szCs w:val="16"/>
                <w:lang w:eastAsia="sl-SI"/>
              </w:rPr>
              <w:t>Zračni promet</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2,31</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1,20</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1,36</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0,61</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0,00</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0,00</w:t>
            </w:r>
          </w:p>
        </w:tc>
        <w:tc>
          <w:tcPr>
            <w:tcW w:w="102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0,00</w:t>
            </w:r>
          </w:p>
        </w:tc>
        <w:tc>
          <w:tcPr>
            <w:tcW w:w="124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5,47</w:t>
            </w:r>
          </w:p>
        </w:tc>
        <w:tc>
          <w:tcPr>
            <w:tcW w:w="124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0,00</w:t>
            </w:r>
          </w:p>
        </w:tc>
      </w:tr>
      <w:tr w:rsidR="00C5699D" w:rsidRPr="00C5699D" w:rsidTr="00C5699D">
        <w:trPr>
          <w:trHeight w:val="225"/>
        </w:trPr>
        <w:tc>
          <w:tcPr>
            <w:tcW w:w="4120" w:type="dxa"/>
            <w:tcBorders>
              <w:top w:val="nil"/>
              <w:left w:val="single" w:sz="4" w:space="0" w:color="auto"/>
              <w:bottom w:val="single" w:sz="4" w:space="0" w:color="auto"/>
              <w:right w:val="single" w:sz="4" w:space="0" w:color="auto"/>
            </w:tcBorders>
            <w:shd w:val="clear" w:color="auto" w:fill="auto"/>
            <w:vAlign w:val="center"/>
            <w:hideMark/>
          </w:tcPr>
          <w:p w:rsidR="00C5699D" w:rsidRPr="00C5699D" w:rsidRDefault="00C5699D" w:rsidP="00C5699D">
            <w:pPr>
              <w:suppressAutoHyphens w:val="0"/>
              <w:rPr>
                <w:rFonts w:ascii="Arial" w:hAnsi="Arial" w:cs="Arial"/>
                <w:b/>
                <w:bCs/>
                <w:sz w:val="16"/>
                <w:szCs w:val="16"/>
                <w:lang w:eastAsia="sl-SI"/>
              </w:rPr>
            </w:pPr>
            <w:r w:rsidRPr="00C5699D">
              <w:rPr>
                <w:rFonts w:ascii="Arial" w:hAnsi="Arial" w:cs="Arial"/>
                <w:b/>
                <w:bCs/>
                <w:sz w:val="16"/>
                <w:szCs w:val="16"/>
                <w:lang w:eastAsia="sl-SI"/>
              </w:rPr>
              <w:t>Vodni promet</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52,40</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76,35</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74,09</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63,69</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31,62</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70,35</w:t>
            </w:r>
          </w:p>
        </w:tc>
        <w:tc>
          <w:tcPr>
            <w:tcW w:w="102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79,50</w:t>
            </w:r>
          </w:p>
        </w:tc>
        <w:tc>
          <w:tcPr>
            <w:tcW w:w="124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448,00</w:t>
            </w:r>
          </w:p>
        </w:tc>
        <w:tc>
          <w:tcPr>
            <w:tcW w:w="124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159,00</w:t>
            </w:r>
          </w:p>
        </w:tc>
      </w:tr>
      <w:tr w:rsidR="00C5699D" w:rsidRPr="00C5699D" w:rsidTr="00C5699D">
        <w:trPr>
          <w:trHeight w:val="225"/>
        </w:trPr>
        <w:tc>
          <w:tcPr>
            <w:tcW w:w="4120" w:type="dxa"/>
            <w:tcBorders>
              <w:top w:val="nil"/>
              <w:left w:val="single" w:sz="4" w:space="0" w:color="auto"/>
              <w:bottom w:val="single" w:sz="4" w:space="0" w:color="auto"/>
              <w:right w:val="single" w:sz="4" w:space="0" w:color="auto"/>
            </w:tcBorders>
            <w:shd w:val="clear" w:color="000000" w:fill="D9D9D9"/>
            <w:vAlign w:val="center"/>
            <w:hideMark/>
          </w:tcPr>
          <w:p w:rsidR="00C5699D" w:rsidRPr="00C5699D" w:rsidRDefault="00C5699D" w:rsidP="00C5699D">
            <w:pPr>
              <w:suppressAutoHyphens w:val="0"/>
              <w:rPr>
                <w:rFonts w:ascii="Arial" w:hAnsi="Arial" w:cs="Arial"/>
                <w:sz w:val="16"/>
                <w:szCs w:val="16"/>
                <w:lang w:eastAsia="sl-SI"/>
              </w:rPr>
            </w:pPr>
            <w:r w:rsidRPr="00C5699D">
              <w:rPr>
                <w:rFonts w:ascii="Arial" w:hAnsi="Arial" w:cs="Arial"/>
                <w:sz w:val="16"/>
                <w:szCs w:val="16"/>
                <w:lang w:eastAsia="sl-SI"/>
              </w:rPr>
              <w:t>MzI</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2,70</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6,15</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3,34</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3,54</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3,82</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12,05</w:t>
            </w:r>
          </w:p>
        </w:tc>
        <w:tc>
          <w:tcPr>
            <w:tcW w:w="102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25,65</w:t>
            </w:r>
          </w:p>
        </w:tc>
        <w:tc>
          <w:tcPr>
            <w:tcW w:w="124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57,25</w:t>
            </w:r>
          </w:p>
        </w:tc>
        <w:tc>
          <w:tcPr>
            <w:tcW w:w="124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0,00</w:t>
            </w:r>
          </w:p>
        </w:tc>
      </w:tr>
      <w:tr w:rsidR="00C5699D" w:rsidRPr="00C5699D" w:rsidTr="00C5699D">
        <w:trPr>
          <w:trHeight w:val="225"/>
        </w:trPr>
        <w:tc>
          <w:tcPr>
            <w:tcW w:w="4120" w:type="dxa"/>
            <w:tcBorders>
              <w:top w:val="nil"/>
              <w:left w:val="single" w:sz="4" w:space="0" w:color="auto"/>
              <w:bottom w:val="single" w:sz="4" w:space="0" w:color="auto"/>
              <w:right w:val="single" w:sz="4" w:space="0" w:color="auto"/>
            </w:tcBorders>
            <w:shd w:val="clear" w:color="auto" w:fill="auto"/>
            <w:vAlign w:val="center"/>
            <w:hideMark/>
          </w:tcPr>
          <w:p w:rsidR="00C5699D" w:rsidRPr="00C5699D" w:rsidRDefault="00C5699D" w:rsidP="00C5699D">
            <w:pPr>
              <w:suppressAutoHyphens w:val="0"/>
              <w:rPr>
                <w:rFonts w:ascii="Arial" w:hAnsi="Arial" w:cs="Arial"/>
                <w:sz w:val="16"/>
                <w:szCs w:val="16"/>
                <w:lang w:eastAsia="sl-SI"/>
              </w:rPr>
            </w:pPr>
            <w:r w:rsidRPr="00C5699D">
              <w:rPr>
                <w:rFonts w:ascii="Arial" w:hAnsi="Arial" w:cs="Arial"/>
                <w:sz w:val="16"/>
                <w:szCs w:val="16"/>
                <w:lang w:eastAsia="sl-SI"/>
              </w:rPr>
              <w:t>Luka Koper d.d.</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49,70</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70,20</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70,75</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60,15</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27,80</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58,30</w:t>
            </w:r>
          </w:p>
        </w:tc>
        <w:tc>
          <w:tcPr>
            <w:tcW w:w="102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53,85</w:t>
            </w:r>
          </w:p>
        </w:tc>
        <w:tc>
          <w:tcPr>
            <w:tcW w:w="124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390,75</w:t>
            </w:r>
          </w:p>
        </w:tc>
        <w:tc>
          <w:tcPr>
            <w:tcW w:w="124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159,00</w:t>
            </w:r>
          </w:p>
        </w:tc>
      </w:tr>
      <w:tr w:rsidR="00C5699D" w:rsidRPr="00C5699D" w:rsidTr="00C5699D">
        <w:trPr>
          <w:trHeight w:val="225"/>
        </w:trPr>
        <w:tc>
          <w:tcPr>
            <w:tcW w:w="4120" w:type="dxa"/>
            <w:tcBorders>
              <w:top w:val="nil"/>
              <w:left w:val="single" w:sz="4" w:space="0" w:color="auto"/>
              <w:bottom w:val="single" w:sz="4" w:space="0" w:color="auto"/>
              <w:right w:val="single" w:sz="4" w:space="0" w:color="auto"/>
            </w:tcBorders>
            <w:shd w:val="clear" w:color="auto" w:fill="auto"/>
            <w:vAlign w:val="center"/>
            <w:hideMark/>
          </w:tcPr>
          <w:p w:rsidR="00C5699D" w:rsidRPr="00C5699D" w:rsidRDefault="00C5699D" w:rsidP="00C5699D">
            <w:pPr>
              <w:suppressAutoHyphens w:val="0"/>
              <w:rPr>
                <w:rFonts w:ascii="Arial" w:hAnsi="Arial" w:cs="Arial"/>
                <w:b/>
                <w:bCs/>
                <w:sz w:val="16"/>
                <w:szCs w:val="16"/>
                <w:lang w:eastAsia="sl-SI"/>
              </w:rPr>
            </w:pPr>
            <w:r w:rsidRPr="00C5699D">
              <w:rPr>
                <w:rFonts w:ascii="Arial" w:hAnsi="Arial" w:cs="Arial"/>
                <w:b/>
                <w:bCs/>
                <w:sz w:val="16"/>
                <w:szCs w:val="16"/>
                <w:lang w:eastAsia="sl-SI"/>
              </w:rPr>
              <w:t>Cestni promet</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222,41</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467,84</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526,08</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609,04</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697,51</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692,51</w:t>
            </w:r>
          </w:p>
        </w:tc>
        <w:tc>
          <w:tcPr>
            <w:tcW w:w="102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605,07</w:t>
            </w:r>
          </w:p>
        </w:tc>
        <w:tc>
          <w:tcPr>
            <w:tcW w:w="124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3.820,45</w:t>
            </w:r>
          </w:p>
        </w:tc>
        <w:tc>
          <w:tcPr>
            <w:tcW w:w="124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3.910,03</w:t>
            </w:r>
          </w:p>
        </w:tc>
      </w:tr>
      <w:tr w:rsidR="00C5699D" w:rsidRPr="00C5699D" w:rsidTr="00C5699D">
        <w:trPr>
          <w:trHeight w:val="225"/>
        </w:trPr>
        <w:tc>
          <w:tcPr>
            <w:tcW w:w="4120" w:type="dxa"/>
            <w:tcBorders>
              <w:top w:val="nil"/>
              <w:left w:val="single" w:sz="4" w:space="0" w:color="auto"/>
              <w:bottom w:val="single" w:sz="4" w:space="0" w:color="auto"/>
              <w:right w:val="single" w:sz="4" w:space="0" w:color="auto"/>
            </w:tcBorders>
            <w:shd w:val="clear" w:color="000000" w:fill="D9D9D9"/>
            <w:vAlign w:val="center"/>
            <w:hideMark/>
          </w:tcPr>
          <w:p w:rsidR="00C5699D" w:rsidRPr="00C5699D" w:rsidRDefault="00C5699D" w:rsidP="00C5699D">
            <w:pPr>
              <w:suppressAutoHyphens w:val="0"/>
              <w:rPr>
                <w:rFonts w:ascii="Arial" w:hAnsi="Arial" w:cs="Arial"/>
                <w:sz w:val="16"/>
                <w:szCs w:val="16"/>
                <w:lang w:eastAsia="sl-SI"/>
              </w:rPr>
            </w:pPr>
            <w:r w:rsidRPr="00C5699D">
              <w:rPr>
                <w:rFonts w:ascii="Arial" w:hAnsi="Arial" w:cs="Arial"/>
                <w:sz w:val="16"/>
                <w:szCs w:val="16"/>
                <w:lang w:eastAsia="sl-SI"/>
              </w:rPr>
              <w:t>MZI + DARS EU</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35,92</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30,93</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16,41</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1,87</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0,00</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0,00</w:t>
            </w:r>
          </w:p>
        </w:tc>
        <w:tc>
          <w:tcPr>
            <w:tcW w:w="102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0,00</w:t>
            </w:r>
          </w:p>
        </w:tc>
        <w:tc>
          <w:tcPr>
            <w:tcW w:w="124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85,13</w:t>
            </w:r>
          </w:p>
        </w:tc>
        <w:tc>
          <w:tcPr>
            <w:tcW w:w="124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2,00</w:t>
            </w:r>
          </w:p>
        </w:tc>
      </w:tr>
      <w:tr w:rsidR="00C5699D" w:rsidRPr="00C5699D" w:rsidTr="00C5699D">
        <w:trPr>
          <w:trHeight w:val="225"/>
        </w:trPr>
        <w:tc>
          <w:tcPr>
            <w:tcW w:w="4120" w:type="dxa"/>
            <w:tcBorders>
              <w:top w:val="nil"/>
              <w:left w:val="single" w:sz="4" w:space="0" w:color="auto"/>
              <w:bottom w:val="single" w:sz="4" w:space="0" w:color="auto"/>
              <w:right w:val="single" w:sz="4" w:space="0" w:color="auto"/>
            </w:tcBorders>
            <w:shd w:val="clear" w:color="000000" w:fill="D9D9D9"/>
            <w:vAlign w:val="center"/>
            <w:hideMark/>
          </w:tcPr>
          <w:p w:rsidR="00C5699D" w:rsidRPr="00C5699D" w:rsidRDefault="00C5699D" w:rsidP="00C5699D">
            <w:pPr>
              <w:suppressAutoHyphens w:val="0"/>
              <w:rPr>
                <w:rFonts w:ascii="Arial" w:hAnsi="Arial" w:cs="Arial"/>
                <w:sz w:val="16"/>
                <w:szCs w:val="16"/>
                <w:lang w:eastAsia="sl-SI"/>
              </w:rPr>
            </w:pPr>
            <w:r w:rsidRPr="00C5699D">
              <w:rPr>
                <w:rFonts w:ascii="Arial" w:hAnsi="Arial" w:cs="Arial"/>
                <w:sz w:val="16"/>
                <w:szCs w:val="16"/>
                <w:lang w:eastAsia="sl-SI"/>
              </w:rPr>
              <w:t>DRSI: Investicijsko vzdrževanje in gradnja cest</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87,16</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152,16</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196,00</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196,00</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196,00</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196,00</w:t>
            </w:r>
          </w:p>
        </w:tc>
        <w:tc>
          <w:tcPr>
            <w:tcW w:w="102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196,00</w:t>
            </w:r>
          </w:p>
        </w:tc>
        <w:tc>
          <w:tcPr>
            <w:tcW w:w="124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1.219,32</w:t>
            </w:r>
          </w:p>
        </w:tc>
        <w:tc>
          <w:tcPr>
            <w:tcW w:w="124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1.568,00</w:t>
            </w:r>
          </w:p>
        </w:tc>
      </w:tr>
      <w:tr w:rsidR="00C5699D" w:rsidRPr="00C5699D" w:rsidTr="00C5699D">
        <w:trPr>
          <w:trHeight w:val="225"/>
        </w:trPr>
        <w:tc>
          <w:tcPr>
            <w:tcW w:w="4120" w:type="dxa"/>
            <w:tcBorders>
              <w:top w:val="nil"/>
              <w:left w:val="single" w:sz="4" w:space="0" w:color="auto"/>
              <w:bottom w:val="single" w:sz="4" w:space="0" w:color="auto"/>
              <w:right w:val="single" w:sz="4" w:space="0" w:color="auto"/>
            </w:tcBorders>
            <w:shd w:val="clear" w:color="auto" w:fill="auto"/>
            <w:vAlign w:val="center"/>
            <w:hideMark/>
          </w:tcPr>
          <w:p w:rsidR="00C5699D" w:rsidRPr="00C5699D" w:rsidRDefault="00C5699D" w:rsidP="00C5699D">
            <w:pPr>
              <w:suppressAutoHyphens w:val="0"/>
              <w:rPr>
                <w:rFonts w:ascii="Arial" w:hAnsi="Arial" w:cs="Arial"/>
                <w:sz w:val="16"/>
                <w:szCs w:val="16"/>
                <w:lang w:eastAsia="sl-SI"/>
              </w:rPr>
            </w:pPr>
            <w:r w:rsidRPr="00C5699D">
              <w:rPr>
                <w:rFonts w:ascii="Arial" w:hAnsi="Arial" w:cs="Arial"/>
                <w:sz w:val="16"/>
                <w:szCs w:val="16"/>
                <w:lang w:eastAsia="sl-SI"/>
              </w:rPr>
              <w:t>DARS d.d.</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99,28</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280,45</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304,94</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390,31</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472,65</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477,65</w:t>
            </w:r>
          </w:p>
        </w:tc>
        <w:tc>
          <w:tcPr>
            <w:tcW w:w="102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396,21</w:t>
            </w:r>
          </w:p>
        </w:tc>
        <w:tc>
          <w:tcPr>
            <w:tcW w:w="124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2.421,51</w:t>
            </w:r>
          </w:p>
        </w:tc>
        <w:tc>
          <w:tcPr>
            <w:tcW w:w="124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2.305,75</w:t>
            </w:r>
          </w:p>
        </w:tc>
      </w:tr>
      <w:tr w:rsidR="00C5699D" w:rsidRPr="00C5699D" w:rsidTr="00C5699D">
        <w:trPr>
          <w:trHeight w:val="225"/>
        </w:trPr>
        <w:tc>
          <w:tcPr>
            <w:tcW w:w="4120" w:type="dxa"/>
            <w:tcBorders>
              <w:top w:val="nil"/>
              <w:left w:val="single" w:sz="4" w:space="0" w:color="auto"/>
              <w:bottom w:val="single" w:sz="4" w:space="0" w:color="auto"/>
              <w:right w:val="single" w:sz="4" w:space="0" w:color="auto"/>
            </w:tcBorders>
            <w:shd w:val="clear" w:color="auto" w:fill="auto"/>
            <w:vAlign w:val="center"/>
            <w:hideMark/>
          </w:tcPr>
          <w:p w:rsidR="00C5699D" w:rsidRPr="00C5699D" w:rsidRDefault="00C5699D" w:rsidP="00C5699D">
            <w:pPr>
              <w:suppressAutoHyphens w:val="0"/>
              <w:rPr>
                <w:rFonts w:ascii="Arial" w:hAnsi="Arial" w:cs="Arial"/>
                <w:sz w:val="16"/>
                <w:szCs w:val="16"/>
                <w:lang w:eastAsia="sl-SI"/>
              </w:rPr>
            </w:pPr>
            <w:r w:rsidRPr="00C5699D">
              <w:rPr>
                <w:rFonts w:ascii="Arial" w:hAnsi="Arial" w:cs="Arial"/>
                <w:sz w:val="16"/>
                <w:szCs w:val="16"/>
                <w:lang w:eastAsia="sl-SI"/>
              </w:rPr>
              <w:t>Občine</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0,05</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4,30</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8,72</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20,86</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28,86</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18,86</w:t>
            </w:r>
          </w:p>
        </w:tc>
        <w:tc>
          <w:tcPr>
            <w:tcW w:w="102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12,86</w:t>
            </w:r>
          </w:p>
        </w:tc>
        <w:tc>
          <w:tcPr>
            <w:tcW w:w="124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94,49</w:t>
            </w:r>
          </w:p>
        </w:tc>
        <w:tc>
          <w:tcPr>
            <w:tcW w:w="124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34,28</w:t>
            </w:r>
          </w:p>
        </w:tc>
      </w:tr>
      <w:tr w:rsidR="00C5699D" w:rsidRPr="00C5699D" w:rsidTr="00C5699D">
        <w:trPr>
          <w:trHeight w:val="225"/>
        </w:trPr>
        <w:tc>
          <w:tcPr>
            <w:tcW w:w="4120" w:type="dxa"/>
            <w:tcBorders>
              <w:top w:val="nil"/>
              <w:left w:val="single" w:sz="4" w:space="0" w:color="auto"/>
              <w:bottom w:val="single" w:sz="4" w:space="0" w:color="auto"/>
              <w:right w:val="single" w:sz="4" w:space="0" w:color="auto"/>
            </w:tcBorders>
            <w:shd w:val="clear" w:color="auto" w:fill="auto"/>
            <w:vAlign w:val="center"/>
            <w:hideMark/>
          </w:tcPr>
          <w:p w:rsidR="00C5699D" w:rsidRPr="00C5699D" w:rsidRDefault="00C5699D" w:rsidP="00C5699D">
            <w:pPr>
              <w:suppressAutoHyphens w:val="0"/>
              <w:rPr>
                <w:rFonts w:ascii="Arial" w:hAnsi="Arial" w:cs="Arial"/>
                <w:b/>
                <w:bCs/>
                <w:sz w:val="16"/>
                <w:szCs w:val="16"/>
                <w:lang w:eastAsia="sl-SI"/>
              </w:rPr>
            </w:pPr>
            <w:r w:rsidRPr="00C5699D">
              <w:rPr>
                <w:rFonts w:ascii="Arial" w:hAnsi="Arial" w:cs="Arial"/>
                <w:b/>
                <w:bCs/>
                <w:sz w:val="16"/>
                <w:szCs w:val="16"/>
                <w:lang w:eastAsia="sl-SI"/>
              </w:rPr>
              <w:t>Železniški promet</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132,61</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184,45</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334,37</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457,54</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462,13</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384,45</w:t>
            </w:r>
          </w:p>
        </w:tc>
        <w:tc>
          <w:tcPr>
            <w:tcW w:w="102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330,10</w:t>
            </w:r>
          </w:p>
        </w:tc>
        <w:tc>
          <w:tcPr>
            <w:tcW w:w="124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2.285,64</w:t>
            </w:r>
          </w:p>
        </w:tc>
        <w:tc>
          <w:tcPr>
            <w:tcW w:w="124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1.113,96</w:t>
            </w:r>
          </w:p>
        </w:tc>
      </w:tr>
      <w:tr w:rsidR="00C5699D" w:rsidRPr="00C5699D" w:rsidTr="00C5699D">
        <w:trPr>
          <w:trHeight w:val="450"/>
        </w:trPr>
        <w:tc>
          <w:tcPr>
            <w:tcW w:w="4120" w:type="dxa"/>
            <w:tcBorders>
              <w:top w:val="nil"/>
              <w:left w:val="single" w:sz="4" w:space="0" w:color="auto"/>
              <w:bottom w:val="single" w:sz="4" w:space="0" w:color="auto"/>
              <w:right w:val="single" w:sz="4" w:space="0" w:color="auto"/>
            </w:tcBorders>
            <w:shd w:val="clear" w:color="000000" w:fill="D9D9D9"/>
            <w:vAlign w:val="center"/>
            <w:hideMark/>
          </w:tcPr>
          <w:p w:rsidR="00C5699D" w:rsidRPr="00C5699D" w:rsidRDefault="00C5699D" w:rsidP="00C5699D">
            <w:pPr>
              <w:suppressAutoHyphens w:val="0"/>
              <w:rPr>
                <w:rFonts w:ascii="Arial" w:hAnsi="Arial" w:cs="Arial"/>
                <w:sz w:val="16"/>
                <w:szCs w:val="16"/>
                <w:lang w:eastAsia="sl-SI"/>
              </w:rPr>
            </w:pPr>
            <w:r w:rsidRPr="00C5699D">
              <w:rPr>
                <w:rFonts w:ascii="Arial" w:hAnsi="Arial" w:cs="Arial"/>
                <w:sz w:val="16"/>
                <w:szCs w:val="16"/>
                <w:lang w:eastAsia="sl-SI"/>
              </w:rPr>
              <w:t>DRSI proračun: Investicijska dejavnost na železniški infrastrukturi</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132,61</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184,45</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244,37</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279,54</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208,13</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149,45</w:t>
            </w:r>
          </w:p>
        </w:tc>
        <w:tc>
          <w:tcPr>
            <w:tcW w:w="102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127,10</w:t>
            </w:r>
          </w:p>
        </w:tc>
        <w:tc>
          <w:tcPr>
            <w:tcW w:w="124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1.325,64</w:t>
            </w:r>
          </w:p>
        </w:tc>
        <w:tc>
          <w:tcPr>
            <w:tcW w:w="124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828,96</w:t>
            </w:r>
          </w:p>
        </w:tc>
      </w:tr>
      <w:tr w:rsidR="00C5699D" w:rsidRPr="00C5699D" w:rsidTr="00C5699D">
        <w:trPr>
          <w:trHeight w:val="225"/>
        </w:trPr>
        <w:tc>
          <w:tcPr>
            <w:tcW w:w="4120" w:type="dxa"/>
            <w:tcBorders>
              <w:top w:val="nil"/>
              <w:left w:val="single" w:sz="4" w:space="0" w:color="auto"/>
              <w:bottom w:val="single" w:sz="4" w:space="0" w:color="auto"/>
              <w:right w:val="single" w:sz="4" w:space="0" w:color="auto"/>
            </w:tcBorders>
            <w:shd w:val="clear" w:color="auto" w:fill="auto"/>
            <w:vAlign w:val="center"/>
            <w:hideMark/>
          </w:tcPr>
          <w:p w:rsidR="00C5699D" w:rsidRPr="00C5699D" w:rsidRDefault="00C5699D" w:rsidP="00C5699D">
            <w:pPr>
              <w:suppressAutoHyphens w:val="0"/>
              <w:rPr>
                <w:rFonts w:ascii="Arial" w:hAnsi="Arial" w:cs="Arial"/>
                <w:sz w:val="16"/>
                <w:szCs w:val="16"/>
                <w:lang w:eastAsia="sl-SI"/>
              </w:rPr>
            </w:pPr>
            <w:r w:rsidRPr="00C5699D">
              <w:rPr>
                <w:rFonts w:ascii="Arial" w:hAnsi="Arial" w:cs="Arial"/>
                <w:sz w:val="16"/>
                <w:szCs w:val="16"/>
                <w:lang w:eastAsia="sl-SI"/>
              </w:rPr>
              <w:t>JZP</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0,00</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0,00</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90,00</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178,00</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254,00</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235,00</w:t>
            </w:r>
          </w:p>
        </w:tc>
        <w:tc>
          <w:tcPr>
            <w:tcW w:w="102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203,00</w:t>
            </w:r>
          </w:p>
        </w:tc>
        <w:tc>
          <w:tcPr>
            <w:tcW w:w="124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960,00</w:t>
            </w:r>
          </w:p>
        </w:tc>
        <w:tc>
          <w:tcPr>
            <w:tcW w:w="124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285,00</w:t>
            </w:r>
          </w:p>
        </w:tc>
      </w:tr>
      <w:tr w:rsidR="00C5699D" w:rsidRPr="00C5699D" w:rsidTr="00C5699D">
        <w:trPr>
          <w:trHeight w:val="225"/>
        </w:trPr>
        <w:tc>
          <w:tcPr>
            <w:tcW w:w="4120" w:type="dxa"/>
            <w:tcBorders>
              <w:top w:val="nil"/>
              <w:left w:val="single" w:sz="4" w:space="0" w:color="auto"/>
              <w:bottom w:val="single" w:sz="4" w:space="0" w:color="auto"/>
              <w:right w:val="single" w:sz="4" w:space="0" w:color="auto"/>
            </w:tcBorders>
            <w:shd w:val="clear" w:color="auto" w:fill="auto"/>
            <w:vAlign w:val="center"/>
            <w:hideMark/>
          </w:tcPr>
          <w:p w:rsidR="00C5699D" w:rsidRPr="00C5699D" w:rsidRDefault="00C5699D" w:rsidP="00C5699D">
            <w:pPr>
              <w:suppressAutoHyphens w:val="0"/>
              <w:rPr>
                <w:rFonts w:ascii="Arial" w:hAnsi="Arial" w:cs="Arial"/>
                <w:b/>
                <w:bCs/>
                <w:sz w:val="16"/>
                <w:szCs w:val="16"/>
                <w:lang w:eastAsia="sl-SI"/>
              </w:rPr>
            </w:pPr>
            <w:r w:rsidRPr="00C5699D">
              <w:rPr>
                <w:rFonts w:ascii="Arial" w:hAnsi="Arial" w:cs="Arial"/>
                <w:b/>
                <w:bCs/>
                <w:sz w:val="16"/>
                <w:szCs w:val="16"/>
                <w:lang w:eastAsia="sl-SI"/>
              </w:rPr>
              <w:t>Trajnostna mobilnost</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10,48</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24,07</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40,38</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56,51</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37,37</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22,40</w:t>
            </w:r>
          </w:p>
        </w:tc>
        <w:tc>
          <w:tcPr>
            <w:tcW w:w="102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22,45</w:t>
            </w:r>
          </w:p>
        </w:tc>
        <w:tc>
          <w:tcPr>
            <w:tcW w:w="124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213,65</w:t>
            </w:r>
          </w:p>
        </w:tc>
        <w:tc>
          <w:tcPr>
            <w:tcW w:w="124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45,08</w:t>
            </w:r>
          </w:p>
        </w:tc>
      </w:tr>
      <w:tr w:rsidR="00C5699D" w:rsidRPr="00C5699D" w:rsidTr="00C5699D">
        <w:trPr>
          <w:trHeight w:val="225"/>
        </w:trPr>
        <w:tc>
          <w:tcPr>
            <w:tcW w:w="4120" w:type="dxa"/>
            <w:tcBorders>
              <w:top w:val="nil"/>
              <w:left w:val="single" w:sz="4" w:space="0" w:color="auto"/>
              <w:bottom w:val="single" w:sz="4" w:space="0" w:color="auto"/>
              <w:right w:val="single" w:sz="4" w:space="0" w:color="auto"/>
            </w:tcBorders>
            <w:shd w:val="clear" w:color="000000" w:fill="D9D9D9"/>
            <w:vAlign w:val="center"/>
            <w:hideMark/>
          </w:tcPr>
          <w:p w:rsidR="00C5699D" w:rsidRPr="00C5699D" w:rsidRDefault="00C5699D" w:rsidP="00C5699D">
            <w:pPr>
              <w:suppressAutoHyphens w:val="0"/>
              <w:rPr>
                <w:rFonts w:ascii="Arial" w:hAnsi="Arial" w:cs="Arial"/>
                <w:sz w:val="16"/>
                <w:szCs w:val="16"/>
                <w:lang w:eastAsia="sl-SI"/>
              </w:rPr>
            </w:pPr>
            <w:r w:rsidRPr="00C5699D">
              <w:rPr>
                <w:rFonts w:ascii="Arial" w:hAnsi="Arial" w:cs="Arial"/>
                <w:sz w:val="16"/>
                <w:szCs w:val="16"/>
                <w:lang w:eastAsia="sl-SI"/>
              </w:rPr>
              <w:t>MzI/DRSI</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10,46</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16,56</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33,37</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49,49</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31,86</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22,40</w:t>
            </w:r>
          </w:p>
        </w:tc>
        <w:tc>
          <w:tcPr>
            <w:tcW w:w="102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22,45</w:t>
            </w:r>
          </w:p>
        </w:tc>
        <w:tc>
          <w:tcPr>
            <w:tcW w:w="124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186,58</w:t>
            </w:r>
          </w:p>
        </w:tc>
        <w:tc>
          <w:tcPr>
            <w:tcW w:w="124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45,08</w:t>
            </w:r>
          </w:p>
        </w:tc>
      </w:tr>
      <w:tr w:rsidR="00C5699D" w:rsidRPr="00C5699D" w:rsidTr="00C5699D">
        <w:trPr>
          <w:trHeight w:val="225"/>
        </w:trPr>
        <w:tc>
          <w:tcPr>
            <w:tcW w:w="4120" w:type="dxa"/>
            <w:tcBorders>
              <w:top w:val="nil"/>
              <w:left w:val="single" w:sz="4" w:space="0" w:color="auto"/>
              <w:bottom w:val="single" w:sz="4" w:space="0" w:color="auto"/>
              <w:right w:val="single" w:sz="4" w:space="0" w:color="auto"/>
            </w:tcBorders>
            <w:shd w:val="clear" w:color="auto" w:fill="auto"/>
            <w:vAlign w:val="center"/>
            <w:hideMark/>
          </w:tcPr>
          <w:p w:rsidR="00C5699D" w:rsidRPr="00C5699D" w:rsidRDefault="00C5699D" w:rsidP="00C5699D">
            <w:pPr>
              <w:suppressAutoHyphens w:val="0"/>
              <w:rPr>
                <w:rFonts w:ascii="Arial" w:hAnsi="Arial" w:cs="Arial"/>
                <w:sz w:val="16"/>
                <w:szCs w:val="16"/>
                <w:lang w:eastAsia="sl-SI"/>
              </w:rPr>
            </w:pPr>
            <w:r w:rsidRPr="00C5699D">
              <w:rPr>
                <w:rFonts w:ascii="Arial" w:hAnsi="Arial" w:cs="Arial"/>
                <w:sz w:val="16"/>
                <w:szCs w:val="16"/>
                <w:lang w:eastAsia="sl-SI"/>
              </w:rPr>
              <w:t>Občine</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0,01</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7,51</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7,01</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7,01</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5,51</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0,00</w:t>
            </w:r>
          </w:p>
        </w:tc>
        <w:tc>
          <w:tcPr>
            <w:tcW w:w="102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0,00</w:t>
            </w:r>
          </w:p>
        </w:tc>
        <w:tc>
          <w:tcPr>
            <w:tcW w:w="124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27,07</w:t>
            </w:r>
          </w:p>
        </w:tc>
        <w:tc>
          <w:tcPr>
            <w:tcW w:w="124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sz w:val="16"/>
                <w:szCs w:val="16"/>
                <w:lang w:eastAsia="sl-SI"/>
              </w:rPr>
            </w:pPr>
            <w:r w:rsidRPr="00C5699D">
              <w:rPr>
                <w:rFonts w:ascii="Arial" w:hAnsi="Arial" w:cs="Arial"/>
                <w:sz w:val="16"/>
                <w:szCs w:val="16"/>
                <w:lang w:eastAsia="sl-SI"/>
              </w:rPr>
              <w:t>0,00</w:t>
            </w:r>
          </w:p>
        </w:tc>
      </w:tr>
      <w:tr w:rsidR="00C5699D" w:rsidRPr="00C5699D" w:rsidTr="00C5699D">
        <w:trPr>
          <w:trHeight w:val="225"/>
        </w:trPr>
        <w:tc>
          <w:tcPr>
            <w:tcW w:w="4120" w:type="dxa"/>
            <w:tcBorders>
              <w:top w:val="nil"/>
              <w:left w:val="single" w:sz="4" w:space="0" w:color="auto"/>
              <w:bottom w:val="single" w:sz="4" w:space="0" w:color="auto"/>
              <w:right w:val="single" w:sz="4" w:space="0" w:color="auto"/>
            </w:tcBorders>
            <w:shd w:val="clear" w:color="auto" w:fill="auto"/>
            <w:vAlign w:val="center"/>
            <w:hideMark/>
          </w:tcPr>
          <w:p w:rsidR="00C5699D" w:rsidRPr="00C5699D" w:rsidRDefault="00C5699D" w:rsidP="00C5699D">
            <w:pPr>
              <w:suppressAutoHyphens w:val="0"/>
              <w:rPr>
                <w:rFonts w:ascii="Arial" w:hAnsi="Arial" w:cs="Arial"/>
                <w:b/>
                <w:bCs/>
                <w:sz w:val="16"/>
                <w:szCs w:val="16"/>
                <w:lang w:eastAsia="sl-SI"/>
              </w:rPr>
            </w:pPr>
            <w:r w:rsidRPr="00C5699D">
              <w:rPr>
                <w:rFonts w:ascii="Arial" w:hAnsi="Arial" w:cs="Arial"/>
                <w:b/>
                <w:bCs/>
                <w:sz w:val="16"/>
                <w:szCs w:val="16"/>
                <w:lang w:eastAsia="sl-SI"/>
              </w:rPr>
              <w:t>Skupaj vsa vlaganja</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420,20</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753,91</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976,27</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1.187,38</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1.228,63</w:t>
            </w:r>
          </w:p>
        </w:tc>
        <w:tc>
          <w:tcPr>
            <w:tcW w:w="96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1.169,71</w:t>
            </w:r>
          </w:p>
        </w:tc>
        <w:tc>
          <w:tcPr>
            <w:tcW w:w="102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1.037,12</w:t>
            </w:r>
          </w:p>
        </w:tc>
        <w:tc>
          <w:tcPr>
            <w:tcW w:w="124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6.773,21</w:t>
            </w:r>
          </w:p>
        </w:tc>
        <w:tc>
          <w:tcPr>
            <w:tcW w:w="1240" w:type="dxa"/>
            <w:tcBorders>
              <w:top w:val="nil"/>
              <w:left w:val="nil"/>
              <w:bottom w:val="single" w:sz="4" w:space="0" w:color="auto"/>
              <w:right w:val="single" w:sz="4" w:space="0" w:color="auto"/>
            </w:tcBorders>
            <w:shd w:val="clear" w:color="auto" w:fill="auto"/>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5.228,07</w:t>
            </w:r>
          </w:p>
        </w:tc>
      </w:tr>
      <w:tr w:rsidR="00C5699D" w:rsidRPr="00C5699D" w:rsidTr="00C5699D">
        <w:trPr>
          <w:trHeight w:val="225"/>
        </w:trPr>
        <w:tc>
          <w:tcPr>
            <w:tcW w:w="4120" w:type="dxa"/>
            <w:tcBorders>
              <w:top w:val="nil"/>
              <w:left w:val="single" w:sz="4" w:space="0" w:color="auto"/>
              <w:bottom w:val="single" w:sz="4" w:space="0" w:color="auto"/>
              <w:right w:val="single" w:sz="4" w:space="0" w:color="auto"/>
            </w:tcBorders>
            <w:shd w:val="clear" w:color="000000" w:fill="D9D9D9"/>
            <w:vAlign w:val="center"/>
            <w:hideMark/>
          </w:tcPr>
          <w:p w:rsidR="00C5699D" w:rsidRPr="00C5699D" w:rsidRDefault="00C5699D" w:rsidP="00C5699D">
            <w:pPr>
              <w:suppressAutoHyphens w:val="0"/>
              <w:rPr>
                <w:rFonts w:ascii="Arial" w:hAnsi="Arial" w:cs="Arial"/>
                <w:b/>
                <w:bCs/>
                <w:sz w:val="16"/>
                <w:szCs w:val="16"/>
                <w:lang w:eastAsia="sl-SI"/>
              </w:rPr>
            </w:pPr>
            <w:r w:rsidRPr="00C5699D">
              <w:rPr>
                <w:rFonts w:ascii="Arial" w:hAnsi="Arial" w:cs="Arial"/>
                <w:b/>
                <w:bCs/>
                <w:sz w:val="16"/>
                <w:szCs w:val="16"/>
                <w:lang w:eastAsia="sl-SI"/>
              </w:rPr>
              <w:t>Skupaj vlaganja države</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271,15</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391,44</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494,84</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531,05</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439,81</w:t>
            </w:r>
          </w:p>
        </w:tc>
        <w:tc>
          <w:tcPr>
            <w:tcW w:w="96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379,90</w:t>
            </w:r>
          </w:p>
        </w:tc>
        <w:tc>
          <w:tcPr>
            <w:tcW w:w="102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371,20</w:t>
            </w:r>
          </w:p>
        </w:tc>
        <w:tc>
          <w:tcPr>
            <w:tcW w:w="124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2.879,39</w:t>
            </w:r>
          </w:p>
        </w:tc>
        <w:tc>
          <w:tcPr>
            <w:tcW w:w="1240" w:type="dxa"/>
            <w:tcBorders>
              <w:top w:val="nil"/>
              <w:left w:val="nil"/>
              <w:bottom w:val="single" w:sz="4" w:space="0" w:color="auto"/>
              <w:right w:val="single" w:sz="4" w:space="0" w:color="auto"/>
            </w:tcBorders>
            <w:shd w:val="clear" w:color="000000" w:fill="D9D9D9"/>
            <w:vAlign w:val="center"/>
            <w:hideMark/>
          </w:tcPr>
          <w:p w:rsidR="00C5699D" w:rsidRPr="00C5699D" w:rsidRDefault="00C5699D" w:rsidP="00C5699D">
            <w:pPr>
              <w:suppressAutoHyphens w:val="0"/>
              <w:jc w:val="center"/>
              <w:rPr>
                <w:rFonts w:ascii="Arial" w:hAnsi="Arial" w:cs="Arial"/>
                <w:b/>
                <w:bCs/>
                <w:sz w:val="16"/>
                <w:szCs w:val="16"/>
                <w:lang w:eastAsia="sl-SI"/>
              </w:rPr>
            </w:pPr>
            <w:r w:rsidRPr="00C5699D">
              <w:rPr>
                <w:rFonts w:ascii="Arial" w:hAnsi="Arial" w:cs="Arial"/>
                <w:b/>
                <w:bCs/>
                <w:sz w:val="16"/>
                <w:szCs w:val="16"/>
                <w:lang w:eastAsia="sl-SI"/>
              </w:rPr>
              <w:t>2.444,04</w:t>
            </w:r>
          </w:p>
        </w:tc>
      </w:tr>
    </w:tbl>
    <w:p w:rsidR="00B70049" w:rsidRPr="00095660" w:rsidRDefault="0002546E" w:rsidP="00D91D1F">
      <w:pPr>
        <w:pStyle w:val="Odstavekseznama"/>
        <w:suppressAutoHyphens w:val="0"/>
        <w:ind w:left="0"/>
        <w:jc w:val="both"/>
        <w:rPr>
          <w:rFonts w:ascii="Arial" w:hAnsi="Arial" w:cs="Arial"/>
          <w:sz w:val="20"/>
        </w:rPr>
      </w:pPr>
      <w:r w:rsidRPr="00095660">
        <w:rPr>
          <w:rFonts w:ascii="Arial" w:hAnsi="Arial" w:cs="Arial"/>
          <w:sz w:val="20"/>
        </w:rPr>
        <w:t xml:space="preserve">* </w:t>
      </w:r>
      <w:r w:rsidR="00D92CAA">
        <w:rPr>
          <w:rFonts w:ascii="Arial" w:hAnsi="Arial" w:cs="Arial"/>
          <w:sz w:val="20"/>
        </w:rPr>
        <w:t xml:space="preserve">Eden od elementov, po katerih EUROSTAT presoja, ali se posamezen projekt vodi v bilancah države ali izven njih, oziroma ali je nek subjekt klasificiran v sektor države, je tudi odstotek financiranja s strani države. Trenutno pri tem vprašanju velja pravilo, da koncendent ne sme financirati (posredno ali neposredno) več kot 50% sredstev javnega koncesionarja. Opozoriti velja, da to ni edini kriterij. </w:t>
      </w:r>
    </w:p>
    <w:p w:rsidR="0002546E" w:rsidRDefault="0002546E" w:rsidP="00D91D1F">
      <w:pPr>
        <w:pStyle w:val="Odstavekseznama"/>
        <w:suppressAutoHyphens w:val="0"/>
        <w:ind w:left="0"/>
        <w:jc w:val="both"/>
        <w:rPr>
          <w:rFonts w:ascii="Arial" w:hAnsi="Arial" w:cs="Arial"/>
          <w:szCs w:val="22"/>
          <w:lang w:eastAsia="sl-SI"/>
        </w:rPr>
      </w:pPr>
    </w:p>
    <w:p w:rsidR="00D91D1F" w:rsidRPr="00E564A6" w:rsidRDefault="00D91D1F" w:rsidP="00D91D1F">
      <w:pPr>
        <w:pStyle w:val="Odstavekseznama"/>
        <w:suppressAutoHyphens w:val="0"/>
        <w:ind w:left="0"/>
        <w:jc w:val="both"/>
        <w:rPr>
          <w:rFonts w:ascii="Arial" w:hAnsi="Arial" w:cs="Arial"/>
          <w:sz w:val="20"/>
        </w:rPr>
      </w:pPr>
      <w:r w:rsidRPr="00E564A6">
        <w:rPr>
          <w:rFonts w:ascii="Arial" w:hAnsi="Arial" w:cs="Arial"/>
          <w:sz w:val="20"/>
        </w:rPr>
        <w:t xml:space="preserve">Poleg vlaganj, katera dinamika je po posameznih deležnikih razvidna iz preglednice 5-1 pa je treba zagotavljati tudi vire za redno vzdrževanje, subvencije in kompenzacije, kot je razvidno iz tabele 5-2 v nadaljevanju. S strani države so predvidena vlaganja v obdobju 2016-2022 </w:t>
      </w:r>
      <w:r w:rsidR="00B70049">
        <w:rPr>
          <w:rFonts w:ascii="Arial" w:hAnsi="Arial" w:cs="Arial"/>
          <w:sz w:val="20"/>
        </w:rPr>
        <w:t xml:space="preserve">v skupni višini 2.260,04 mio EUR, in sicer </w:t>
      </w:r>
      <w:r w:rsidRPr="00E564A6">
        <w:rPr>
          <w:rFonts w:ascii="Arial" w:hAnsi="Arial" w:cs="Arial"/>
          <w:sz w:val="20"/>
        </w:rPr>
        <w:t>za:</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ceste v višini 539,85 mio EUR,</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železnice v višini 905,19 mio EUR in</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 xml:space="preserve">trajnostna mobilnost (subvencije in kompenzacije) v višini </w:t>
      </w:r>
      <w:r w:rsidR="00B70049" w:rsidRPr="004D661A">
        <w:rPr>
          <w:rFonts w:ascii="Arial" w:hAnsi="Arial" w:cs="Arial"/>
          <w:sz w:val="20"/>
          <w:szCs w:val="20"/>
        </w:rPr>
        <w:t>815</w:t>
      </w:r>
      <w:r w:rsidRPr="004D661A">
        <w:rPr>
          <w:rFonts w:ascii="Arial" w:hAnsi="Arial" w:cs="Arial"/>
          <w:sz w:val="20"/>
          <w:szCs w:val="20"/>
        </w:rPr>
        <w:t>,00 mio EUR.</w:t>
      </w:r>
    </w:p>
    <w:p w:rsidR="00D91D1F" w:rsidRPr="00D91D1F" w:rsidRDefault="00D91D1F" w:rsidP="00D91D1F">
      <w:pPr>
        <w:pStyle w:val="Odstavekseznama"/>
        <w:suppressAutoHyphens w:val="0"/>
        <w:ind w:left="0"/>
        <w:jc w:val="both"/>
        <w:rPr>
          <w:rFonts w:ascii="Arial" w:hAnsi="Arial" w:cs="Arial"/>
          <w:szCs w:val="22"/>
          <w:lang w:eastAsia="sl-SI"/>
        </w:rPr>
      </w:pPr>
      <w:r w:rsidRPr="00D91D1F">
        <w:rPr>
          <w:rFonts w:ascii="Arial" w:hAnsi="Arial" w:cs="Arial"/>
        </w:rPr>
        <w:br w:type="page"/>
      </w:r>
      <w:r w:rsidRPr="00E564A6">
        <w:rPr>
          <w:rFonts w:ascii="Arial" w:hAnsi="Arial" w:cs="Arial"/>
          <w:sz w:val="20"/>
        </w:rPr>
        <w:lastRenderedPageBreak/>
        <w:t>Tabela 5</w:t>
      </w:r>
      <w:r w:rsidRPr="00E564A6">
        <w:rPr>
          <w:rFonts w:ascii="Arial" w:hAnsi="Arial" w:cs="Arial"/>
          <w:sz w:val="20"/>
        </w:rPr>
        <w:noBreakHyphen/>
        <w:t>2</w:t>
      </w:r>
      <w:r w:rsidRPr="00E564A6">
        <w:rPr>
          <w:rFonts w:ascii="Arial" w:hAnsi="Arial" w:cs="Arial"/>
          <w:sz w:val="20"/>
          <w:szCs w:val="22"/>
          <w:lang w:eastAsia="sl-SI"/>
        </w:rPr>
        <w:t>: Pregled vlaganj v redno vzdrževanje, subvencije in kompenzacije (v mio EUR)</w:t>
      </w:r>
    </w:p>
    <w:tbl>
      <w:tblPr>
        <w:tblW w:w="13380" w:type="dxa"/>
        <w:tblInd w:w="55" w:type="dxa"/>
        <w:tblCellMar>
          <w:left w:w="70" w:type="dxa"/>
          <w:right w:w="70" w:type="dxa"/>
        </w:tblCellMar>
        <w:tblLook w:val="04A0" w:firstRow="1" w:lastRow="0" w:firstColumn="1" w:lastColumn="0" w:noHBand="0" w:noVBand="1"/>
      </w:tblPr>
      <w:tblGrid>
        <w:gridCol w:w="4120"/>
        <w:gridCol w:w="960"/>
        <w:gridCol w:w="960"/>
        <w:gridCol w:w="960"/>
        <w:gridCol w:w="960"/>
        <w:gridCol w:w="960"/>
        <w:gridCol w:w="960"/>
        <w:gridCol w:w="1020"/>
        <w:gridCol w:w="1240"/>
        <w:gridCol w:w="1240"/>
      </w:tblGrid>
      <w:tr w:rsidR="00B70049" w:rsidRPr="00B70049" w:rsidTr="00B70049">
        <w:trPr>
          <w:trHeight w:val="450"/>
        </w:trPr>
        <w:tc>
          <w:tcPr>
            <w:tcW w:w="41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70049" w:rsidRPr="00B70049" w:rsidRDefault="00B70049" w:rsidP="00B70049">
            <w:pPr>
              <w:suppressAutoHyphens w:val="0"/>
              <w:rPr>
                <w:rFonts w:ascii="Arial" w:hAnsi="Arial" w:cs="Arial"/>
                <w:b/>
                <w:bCs/>
                <w:sz w:val="16"/>
                <w:szCs w:val="16"/>
                <w:lang w:eastAsia="sl-SI"/>
              </w:rPr>
            </w:pPr>
            <w:r w:rsidRPr="00B70049">
              <w:rPr>
                <w:rFonts w:ascii="Arial" w:hAnsi="Arial" w:cs="Arial"/>
                <w:b/>
                <w:bCs/>
                <w:sz w:val="16"/>
                <w:szCs w:val="16"/>
                <w:lang w:eastAsia="sl-SI"/>
              </w:rPr>
              <w:t>Redno vzdrževanje, subvencije in kompenzacije</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2016</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2017</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2018</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2019</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2020</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2021</w:t>
            </w:r>
          </w:p>
        </w:tc>
        <w:tc>
          <w:tcPr>
            <w:tcW w:w="1020"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2022</w:t>
            </w:r>
          </w:p>
        </w:tc>
        <w:tc>
          <w:tcPr>
            <w:tcW w:w="1240"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Skupaj 2016-2022</w:t>
            </w:r>
          </w:p>
        </w:tc>
        <w:tc>
          <w:tcPr>
            <w:tcW w:w="1240"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Skupaj 2023-2030</w:t>
            </w:r>
          </w:p>
        </w:tc>
      </w:tr>
      <w:tr w:rsidR="00B70049" w:rsidRPr="00B70049" w:rsidTr="00B70049">
        <w:trPr>
          <w:trHeight w:val="225"/>
        </w:trPr>
        <w:tc>
          <w:tcPr>
            <w:tcW w:w="4120" w:type="dxa"/>
            <w:tcBorders>
              <w:top w:val="nil"/>
              <w:left w:val="single" w:sz="4" w:space="0" w:color="auto"/>
              <w:bottom w:val="single" w:sz="4" w:space="0" w:color="auto"/>
              <w:right w:val="single" w:sz="4" w:space="0" w:color="auto"/>
            </w:tcBorders>
            <w:shd w:val="clear" w:color="auto" w:fill="auto"/>
            <w:vAlign w:val="center"/>
            <w:hideMark/>
          </w:tcPr>
          <w:p w:rsidR="00B70049" w:rsidRPr="00B70049" w:rsidRDefault="00B70049" w:rsidP="00B70049">
            <w:pPr>
              <w:suppressAutoHyphens w:val="0"/>
              <w:rPr>
                <w:rFonts w:ascii="Arial" w:hAnsi="Arial" w:cs="Arial"/>
                <w:b/>
                <w:bCs/>
                <w:sz w:val="16"/>
                <w:szCs w:val="16"/>
                <w:lang w:eastAsia="sl-SI"/>
              </w:rPr>
            </w:pPr>
            <w:r w:rsidRPr="00B70049">
              <w:rPr>
                <w:rFonts w:ascii="Arial" w:hAnsi="Arial" w:cs="Arial"/>
                <w:b/>
                <w:bCs/>
                <w:sz w:val="16"/>
                <w:szCs w:val="16"/>
                <w:lang w:eastAsia="sl-SI"/>
              </w:rPr>
              <w:t>Ceste</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90,41</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89,44</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72,00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72,00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72,00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72,00</w:t>
            </w:r>
          </w:p>
        </w:tc>
        <w:tc>
          <w:tcPr>
            <w:tcW w:w="10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72,00</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539,85</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576,00</w:t>
            </w:r>
          </w:p>
        </w:tc>
      </w:tr>
      <w:tr w:rsidR="00B70049" w:rsidRPr="00B70049" w:rsidTr="00B70049">
        <w:trPr>
          <w:trHeight w:val="450"/>
        </w:trPr>
        <w:tc>
          <w:tcPr>
            <w:tcW w:w="4120" w:type="dxa"/>
            <w:tcBorders>
              <w:top w:val="nil"/>
              <w:left w:val="single" w:sz="4" w:space="0" w:color="auto"/>
              <w:bottom w:val="single" w:sz="4" w:space="0" w:color="auto"/>
              <w:right w:val="single" w:sz="4" w:space="0" w:color="auto"/>
            </w:tcBorders>
            <w:shd w:val="clear" w:color="auto" w:fill="auto"/>
            <w:vAlign w:val="center"/>
            <w:hideMark/>
          </w:tcPr>
          <w:p w:rsidR="00B70049" w:rsidRPr="00B70049" w:rsidRDefault="00B70049" w:rsidP="00CA75C0">
            <w:pPr>
              <w:suppressAutoHyphens w:val="0"/>
              <w:ind w:firstLineChars="300" w:firstLine="480"/>
              <w:rPr>
                <w:rFonts w:ascii="Arial" w:hAnsi="Arial" w:cs="Arial"/>
                <w:sz w:val="16"/>
                <w:szCs w:val="16"/>
                <w:lang w:eastAsia="sl-SI"/>
              </w:rPr>
            </w:pPr>
            <w:r w:rsidRPr="00B70049">
              <w:rPr>
                <w:rFonts w:ascii="Arial" w:hAnsi="Arial" w:cs="Arial"/>
                <w:sz w:val="16"/>
                <w:szCs w:val="16"/>
                <w:lang w:eastAsia="sl-SI"/>
              </w:rPr>
              <w:t>DRSI: Urejanje in razvoj na področju prometa in prometne infrastrukture</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4,70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4,70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5,00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5,00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5,00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5,00</w:t>
            </w:r>
          </w:p>
        </w:tc>
        <w:tc>
          <w:tcPr>
            <w:tcW w:w="10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5,00</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34,40</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40,00</w:t>
            </w:r>
          </w:p>
        </w:tc>
      </w:tr>
      <w:tr w:rsidR="00B70049" w:rsidRPr="00B70049" w:rsidTr="00B70049">
        <w:trPr>
          <w:trHeight w:val="450"/>
        </w:trPr>
        <w:tc>
          <w:tcPr>
            <w:tcW w:w="4120" w:type="dxa"/>
            <w:tcBorders>
              <w:top w:val="nil"/>
              <w:left w:val="single" w:sz="4" w:space="0" w:color="auto"/>
              <w:bottom w:val="single" w:sz="4" w:space="0" w:color="auto"/>
              <w:right w:val="single" w:sz="4" w:space="0" w:color="auto"/>
            </w:tcBorders>
            <w:shd w:val="clear" w:color="auto" w:fill="auto"/>
            <w:vAlign w:val="center"/>
            <w:hideMark/>
          </w:tcPr>
          <w:p w:rsidR="00B70049" w:rsidRPr="00B70049" w:rsidRDefault="00B70049" w:rsidP="00CA75C0">
            <w:pPr>
              <w:suppressAutoHyphens w:val="0"/>
              <w:ind w:firstLineChars="300" w:firstLine="480"/>
              <w:rPr>
                <w:rFonts w:ascii="Arial" w:hAnsi="Arial" w:cs="Arial"/>
                <w:sz w:val="16"/>
                <w:szCs w:val="16"/>
                <w:lang w:eastAsia="sl-SI"/>
              </w:rPr>
            </w:pPr>
            <w:r w:rsidRPr="00B70049">
              <w:rPr>
                <w:rFonts w:ascii="Arial" w:hAnsi="Arial" w:cs="Arial"/>
                <w:sz w:val="16"/>
                <w:szCs w:val="16"/>
                <w:lang w:eastAsia="sl-SI"/>
              </w:rPr>
              <w:t>DRSI: Upravljanje in tekoče vzdrževanje državnih cest</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85,71</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84,74</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67,00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67,00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67,00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67,00</w:t>
            </w:r>
          </w:p>
        </w:tc>
        <w:tc>
          <w:tcPr>
            <w:tcW w:w="10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67,00</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505,45</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536,00</w:t>
            </w:r>
          </w:p>
        </w:tc>
      </w:tr>
      <w:tr w:rsidR="00B70049" w:rsidRPr="00B70049" w:rsidTr="00B70049">
        <w:trPr>
          <w:trHeight w:val="225"/>
        </w:trPr>
        <w:tc>
          <w:tcPr>
            <w:tcW w:w="4120" w:type="dxa"/>
            <w:tcBorders>
              <w:top w:val="nil"/>
              <w:left w:val="single" w:sz="4" w:space="0" w:color="auto"/>
              <w:bottom w:val="single" w:sz="4" w:space="0" w:color="auto"/>
              <w:right w:val="single" w:sz="4" w:space="0" w:color="auto"/>
            </w:tcBorders>
            <w:shd w:val="clear" w:color="auto" w:fill="auto"/>
            <w:vAlign w:val="center"/>
            <w:hideMark/>
          </w:tcPr>
          <w:p w:rsidR="00B70049" w:rsidRPr="00B70049" w:rsidRDefault="00B70049" w:rsidP="00B70049">
            <w:pPr>
              <w:suppressAutoHyphens w:val="0"/>
              <w:rPr>
                <w:rFonts w:ascii="Arial" w:hAnsi="Arial" w:cs="Arial"/>
                <w:b/>
                <w:bCs/>
                <w:sz w:val="16"/>
                <w:szCs w:val="16"/>
                <w:lang w:eastAsia="sl-SI"/>
              </w:rPr>
            </w:pPr>
            <w:r w:rsidRPr="00B70049">
              <w:rPr>
                <w:rFonts w:ascii="Arial" w:hAnsi="Arial" w:cs="Arial"/>
                <w:b/>
                <w:bCs/>
                <w:sz w:val="16"/>
                <w:szCs w:val="16"/>
                <w:lang w:eastAsia="sl-SI"/>
              </w:rPr>
              <w:t>Železnice</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112,19</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113,00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136,00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136,00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136,00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136,00</w:t>
            </w:r>
          </w:p>
        </w:tc>
        <w:tc>
          <w:tcPr>
            <w:tcW w:w="10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136,00</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905,19</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1.088,00</w:t>
            </w:r>
          </w:p>
        </w:tc>
      </w:tr>
      <w:tr w:rsidR="00B70049" w:rsidRPr="00B70049" w:rsidTr="00B70049">
        <w:trPr>
          <w:trHeight w:val="450"/>
        </w:trPr>
        <w:tc>
          <w:tcPr>
            <w:tcW w:w="4120" w:type="dxa"/>
            <w:tcBorders>
              <w:top w:val="nil"/>
              <w:left w:val="single" w:sz="4" w:space="0" w:color="auto"/>
              <w:bottom w:val="single" w:sz="4" w:space="0" w:color="auto"/>
              <w:right w:val="single" w:sz="4" w:space="0" w:color="auto"/>
            </w:tcBorders>
            <w:shd w:val="clear" w:color="auto" w:fill="auto"/>
            <w:vAlign w:val="center"/>
            <w:hideMark/>
          </w:tcPr>
          <w:p w:rsidR="00B70049" w:rsidRPr="00B70049" w:rsidRDefault="00B70049" w:rsidP="00CA75C0">
            <w:pPr>
              <w:suppressAutoHyphens w:val="0"/>
              <w:ind w:firstLineChars="300" w:firstLine="480"/>
              <w:rPr>
                <w:rFonts w:ascii="Arial" w:hAnsi="Arial" w:cs="Arial"/>
                <w:sz w:val="16"/>
                <w:szCs w:val="16"/>
                <w:lang w:eastAsia="sl-SI"/>
              </w:rPr>
            </w:pPr>
            <w:r w:rsidRPr="00B70049">
              <w:rPr>
                <w:rFonts w:ascii="Arial" w:hAnsi="Arial" w:cs="Arial"/>
                <w:sz w:val="16"/>
                <w:szCs w:val="16"/>
                <w:lang w:eastAsia="sl-SI"/>
              </w:rPr>
              <w:t>DRSI proračun: Vzdrževanje javne železniške infrastrukture</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65,77</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66,34</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90,00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90,00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90,00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90,00</w:t>
            </w:r>
          </w:p>
        </w:tc>
        <w:tc>
          <w:tcPr>
            <w:tcW w:w="10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90,00</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582,11</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720,00</w:t>
            </w:r>
          </w:p>
        </w:tc>
      </w:tr>
      <w:tr w:rsidR="00B70049" w:rsidRPr="00B70049" w:rsidTr="00B70049">
        <w:trPr>
          <w:trHeight w:val="450"/>
        </w:trPr>
        <w:tc>
          <w:tcPr>
            <w:tcW w:w="4120" w:type="dxa"/>
            <w:tcBorders>
              <w:top w:val="nil"/>
              <w:left w:val="single" w:sz="4" w:space="0" w:color="auto"/>
              <w:bottom w:val="single" w:sz="4" w:space="0" w:color="auto"/>
              <w:right w:val="single" w:sz="4" w:space="0" w:color="auto"/>
            </w:tcBorders>
            <w:shd w:val="clear" w:color="auto" w:fill="auto"/>
            <w:vAlign w:val="center"/>
            <w:hideMark/>
          </w:tcPr>
          <w:p w:rsidR="00B70049" w:rsidRPr="00B70049" w:rsidRDefault="00B70049" w:rsidP="00CA75C0">
            <w:pPr>
              <w:suppressAutoHyphens w:val="0"/>
              <w:ind w:firstLineChars="300" w:firstLine="480"/>
              <w:rPr>
                <w:rFonts w:ascii="Arial" w:hAnsi="Arial" w:cs="Arial"/>
                <w:sz w:val="16"/>
                <w:szCs w:val="16"/>
                <w:lang w:eastAsia="sl-SI"/>
              </w:rPr>
            </w:pPr>
            <w:r w:rsidRPr="00B70049">
              <w:rPr>
                <w:rFonts w:ascii="Arial" w:hAnsi="Arial" w:cs="Arial"/>
                <w:sz w:val="16"/>
                <w:szCs w:val="16"/>
                <w:lang w:eastAsia="sl-SI"/>
              </w:rPr>
              <w:t>DRSI proračun: Zagotavljanje varnosti v železniškem prometu</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46,42</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46,66</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46,00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46,00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46,00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46,00</w:t>
            </w:r>
          </w:p>
        </w:tc>
        <w:tc>
          <w:tcPr>
            <w:tcW w:w="10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46,00</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323,08</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368,00</w:t>
            </w:r>
          </w:p>
        </w:tc>
      </w:tr>
      <w:tr w:rsidR="00B70049" w:rsidRPr="00B70049" w:rsidTr="00B70049">
        <w:trPr>
          <w:trHeight w:val="225"/>
        </w:trPr>
        <w:tc>
          <w:tcPr>
            <w:tcW w:w="4120" w:type="dxa"/>
            <w:tcBorders>
              <w:top w:val="nil"/>
              <w:left w:val="single" w:sz="4" w:space="0" w:color="auto"/>
              <w:bottom w:val="single" w:sz="4" w:space="0" w:color="auto"/>
              <w:right w:val="single" w:sz="4" w:space="0" w:color="auto"/>
            </w:tcBorders>
            <w:shd w:val="clear" w:color="auto" w:fill="auto"/>
            <w:vAlign w:val="center"/>
            <w:hideMark/>
          </w:tcPr>
          <w:p w:rsidR="00B70049" w:rsidRPr="00B70049" w:rsidRDefault="00B70049" w:rsidP="00B70049">
            <w:pPr>
              <w:suppressAutoHyphens w:val="0"/>
              <w:rPr>
                <w:rFonts w:ascii="Arial" w:hAnsi="Arial" w:cs="Arial"/>
                <w:b/>
                <w:bCs/>
                <w:sz w:val="16"/>
                <w:szCs w:val="16"/>
                <w:lang w:eastAsia="sl-SI"/>
              </w:rPr>
            </w:pPr>
            <w:r w:rsidRPr="00B70049">
              <w:rPr>
                <w:rFonts w:ascii="Arial" w:hAnsi="Arial" w:cs="Arial"/>
                <w:b/>
                <w:bCs/>
                <w:sz w:val="16"/>
                <w:szCs w:val="16"/>
                <w:lang w:eastAsia="sl-SI"/>
              </w:rPr>
              <w:t>Trajnostna mobilnost</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105,00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105,00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121,00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121,00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121,00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121,00</w:t>
            </w:r>
          </w:p>
        </w:tc>
        <w:tc>
          <w:tcPr>
            <w:tcW w:w="10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121,00</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815,00</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968,00</w:t>
            </w:r>
          </w:p>
        </w:tc>
      </w:tr>
      <w:tr w:rsidR="00B70049" w:rsidRPr="00B70049" w:rsidTr="00B70049">
        <w:trPr>
          <w:trHeight w:val="225"/>
        </w:trPr>
        <w:tc>
          <w:tcPr>
            <w:tcW w:w="4120" w:type="dxa"/>
            <w:tcBorders>
              <w:top w:val="nil"/>
              <w:left w:val="single" w:sz="4" w:space="0" w:color="auto"/>
              <w:bottom w:val="single" w:sz="4" w:space="0" w:color="auto"/>
              <w:right w:val="single" w:sz="4" w:space="0" w:color="auto"/>
            </w:tcBorders>
            <w:shd w:val="clear" w:color="auto" w:fill="auto"/>
            <w:vAlign w:val="center"/>
            <w:hideMark/>
          </w:tcPr>
          <w:p w:rsidR="00B70049" w:rsidRPr="00B70049" w:rsidRDefault="00B70049" w:rsidP="00CA75C0">
            <w:pPr>
              <w:suppressAutoHyphens w:val="0"/>
              <w:ind w:firstLineChars="300" w:firstLine="480"/>
              <w:rPr>
                <w:rFonts w:ascii="Arial" w:hAnsi="Arial" w:cs="Arial"/>
                <w:sz w:val="16"/>
                <w:szCs w:val="16"/>
                <w:lang w:eastAsia="sl-SI"/>
              </w:rPr>
            </w:pPr>
            <w:r w:rsidRPr="00B70049">
              <w:rPr>
                <w:rFonts w:ascii="Arial" w:hAnsi="Arial" w:cs="Arial"/>
                <w:sz w:val="16"/>
                <w:szCs w:val="16"/>
                <w:lang w:eastAsia="sl-SI"/>
              </w:rPr>
              <w:t>Subvencije in kompenzacije (avtobusni prevozi)</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60,00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60,00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60,00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60,00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60,00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60,00</w:t>
            </w:r>
          </w:p>
        </w:tc>
        <w:tc>
          <w:tcPr>
            <w:tcW w:w="10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60,00</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420,00</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480,00</w:t>
            </w:r>
          </w:p>
        </w:tc>
      </w:tr>
      <w:tr w:rsidR="00B70049" w:rsidRPr="00B70049" w:rsidTr="00B70049">
        <w:trPr>
          <w:trHeight w:val="450"/>
        </w:trPr>
        <w:tc>
          <w:tcPr>
            <w:tcW w:w="4120" w:type="dxa"/>
            <w:tcBorders>
              <w:top w:val="nil"/>
              <w:left w:val="single" w:sz="4" w:space="0" w:color="auto"/>
              <w:bottom w:val="single" w:sz="4" w:space="0" w:color="auto"/>
              <w:right w:val="single" w:sz="4" w:space="0" w:color="auto"/>
            </w:tcBorders>
            <w:shd w:val="clear" w:color="auto" w:fill="auto"/>
            <w:vAlign w:val="center"/>
            <w:hideMark/>
          </w:tcPr>
          <w:p w:rsidR="00B70049" w:rsidRPr="00B70049" w:rsidRDefault="00B70049" w:rsidP="00CA75C0">
            <w:pPr>
              <w:suppressAutoHyphens w:val="0"/>
              <w:ind w:firstLineChars="300" w:firstLine="480"/>
              <w:rPr>
                <w:rFonts w:ascii="Arial" w:hAnsi="Arial" w:cs="Arial"/>
                <w:sz w:val="16"/>
                <w:szCs w:val="16"/>
                <w:lang w:eastAsia="sl-SI"/>
              </w:rPr>
            </w:pPr>
            <w:r w:rsidRPr="00B70049">
              <w:rPr>
                <w:rFonts w:ascii="Arial" w:hAnsi="Arial" w:cs="Arial"/>
                <w:sz w:val="16"/>
                <w:szCs w:val="16"/>
                <w:lang w:eastAsia="sl-SI"/>
              </w:rPr>
              <w:t>Integriran sistem javnega potniškega prometa (železnice)</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45,00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45,00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61,00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61,00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61,00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61,00</w:t>
            </w:r>
          </w:p>
        </w:tc>
        <w:tc>
          <w:tcPr>
            <w:tcW w:w="10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61,00</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395,00</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488,00</w:t>
            </w:r>
          </w:p>
        </w:tc>
      </w:tr>
      <w:tr w:rsidR="00B70049" w:rsidRPr="00B70049" w:rsidTr="00B70049">
        <w:trPr>
          <w:trHeight w:val="450"/>
        </w:trPr>
        <w:tc>
          <w:tcPr>
            <w:tcW w:w="4120" w:type="dxa"/>
            <w:tcBorders>
              <w:top w:val="nil"/>
              <w:left w:val="single" w:sz="4" w:space="0" w:color="auto"/>
              <w:bottom w:val="single" w:sz="4" w:space="0" w:color="auto"/>
              <w:right w:val="single" w:sz="4" w:space="0" w:color="auto"/>
            </w:tcBorders>
            <w:shd w:val="clear" w:color="auto" w:fill="auto"/>
            <w:vAlign w:val="center"/>
            <w:hideMark/>
          </w:tcPr>
          <w:p w:rsidR="00B70049" w:rsidRPr="00B70049" w:rsidRDefault="00B70049" w:rsidP="00B70049">
            <w:pPr>
              <w:suppressAutoHyphens w:val="0"/>
              <w:rPr>
                <w:rFonts w:ascii="Arial" w:hAnsi="Arial" w:cs="Arial"/>
                <w:b/>
                <w:bCs/>
                <w:sz w:val="16"/>
                <w:szCs w:val="16"/>
                <w:lang w:eastAsia="sl-SI"/>
              </w:rPr>
            </w:pPr>
            <w:r w:rsidRPr="00B70049">
              <w:rPr>
                <w:rFonts w:ascii="Arial" w:hAnsi="Arial" w:cs="Arial"/>
                <w:b/>
                <w:bCs/>
                <w:sz w:val="16"/>
                <w:szCs w:val="16"/>
                <w:lang w:eastAsia="sl-SI"/>
              </w:rPr>
              <w:t>Skupaj redno vzdrževanje, subvencije in kompenzacije</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307,60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307,44</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329,00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329,00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329,00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329,00</w:t>
            </w:r>
          </w:p>
        </w:tc>
        <w:tc>
          <w:tcPr>
            <w:tcW w:w="10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329,00</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2.260,04</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2.632,00</w:t>
            </w:r>
          </w:p>
        </w:tc>
      </w:tr>
    </w:tbl>
    <w:p w:rsidR="00B70049" w:rsidRDefault="00B70049" w:rsidP="00D91D1F">
      <w:pPr>
        <w:pStyle w:val="Odstavekseznama"/>
        <w:suppressAutoHyphens w:val="0"/>
        <w:ind w:left="0"/>
        <w:jc w:val="both"/>
        <w:rPr>
          <w:rFonts w:ascii="Arial" w:hAnsi="Arial" w:cs="Arial"/>
          <w:szCs w:val="22"/>
          <w:lang w:eastAsia="sl-SI"/>
        </w:rPr>
      </w:pPr>
    </w:p>
    <w:p w:rsidR="00B70049" w:rsidRPr="00D91D1F" w:rsidRDefault="00B70049" w:rsidP="00D91D1F">
      <w:pPr>
        <w:pStyle w:val="Odstavekseznama"/>
        <w:suppressAutoHyphens w:val="0"/>
        <w:ind w:left="0"/>
        <w:jc w:val="both"/>
        <w:rPr>
          <w:rFonts w:ascii="Arial" w:hAnsi="Arial" w:cs="Arial"/>
          <w:szCs w:val="22"/>
          <w:lang w:eastAsia="sl-SI"/>
        </w:rPr>
      </w:pPr>
    </w:p>
    <w:p w:rsidR="00D91D1F" w:rsidRPr="00D91D1F" w:rsidRDefault="00D91D1F" w:rsidP="00D91D1F">
      <w:pPr>
        <w:pStyle w:val="Odstavekseznama"/>
        <w:suppressAutoHyphens w:val="0"/>
        <w:ind w:left="0"/>
        <w:jc w:val="both"/>
        <w:rPr>
          <w:rFonts w:ascii="Arial" w:hAnsi="Arial" w:cs="Arial"/>
          <w:szCs w:val="22"/>
          <w:lang w:eastAsia="sl-SI"/>
        </w:rPr>
        <w:sectPr w:rsidR="00D91D1F" w:rsidRPr="00D91D1F" w:rsidSect="00BF1663">
          <w:pgSz w:w="16838" w:h="11906" w:orient="landscape"/>
          <w:pgMar w:top="1417" w:right="1417" w:bottom="1417" w:left="1417" w:header="708" w:footer="708" w:gutter="0"/>
          <w:cols w:space="708"/>
          <w:docGrid w:linePitch="360"/>
        </w:sectPr>
      </w:pPr>
    </w:p>
    <w:p w:rsidR="00D91D1F" w:rsidRPr="00E564A6" w:rsidRDefault="00E706C0" w:rsidP="00E706C0">
      <w:pPr>
        <w:pStyle w:val="Naslov2"/>
        <w:ind w:left="567" w:hanging="567"/>
      </w:pPr>
      <w:bookmarkStart w:id="33" w:name="_Toc427585398"/>
      <w:bookmarkStart w:id="34" w:name="_Toc443029067"/>
      <w:bookmarkStart w:id="35" w:name="_Toc456688581"/>
      <w:bookmarkEnd w:id="33"/>
      <w:r>
        <w:lastRenderedPageBreak/>
        <w:t>5.1</w:t>
      </w:r>
      <w:r>
        <w:tab/>
      </w:r>
      <w:r w:rsidR="00D91D1F" w:rsidRPr="00936357">
        <w:t>Ceste</w:t>
      </w:r>
      <w:bookmarkEnd w:id="34"/>
      <w:bookmarkEnd w:id="35"/>
    </w:p>
    <w:p w:rsidR="00D91D1F" w:rsidRPr="00E564A6" w:rsidRDefault="00D91D1F" w:rsidP="001B0A14">
      <w:pPr>
        <w:pStyle w:val="Naslov2"/>
      </w:pPr>
      <w:bookmarkStart w:id="36" w:name="_Toc427585399"/>
      <w:bookmarkStart w:id="37" w:name="_Toc427586073"/>
      <w:bookmarkStart w:id="38" w:name="_Toc427586229"/>
      <w:bookmarkStart w:id="39" w:name="_Toc427586283"/>
      <w:bookmarkStart w:id="40" w:name="_Toc427585400"/>
      <w:bookmarkStart w:id="41" w:name="_Toc427586074"/>
      <w:bookmarkStart w:id="42" w:name="_Toc427586230"/>
      <w:bookmarkStart w:id="43" w:name="_Toc427586284"/>
      <w:bookmarkEnd w:id="36"/>
      <w:bookmarkEnd w:id="37"/>
      <w:bookmarkEnd w:id="38"/>
      <w:bookmarkEnd w:id="39"/>
      <w:bookmarkEnd w:id="40"/>
      <w:bookmarkEnd w:id="41"/>
      <w:bookmarkEnd w:id="42"/>
      <w:bookmarkEnd w:id="43"/>
    </w:p>
    <w:p w:rsidR="00D91D1F" w:rsidRPr="00E564A6" w:rsidRDefault="00D91D1F" w:rsidP="00D91D1F">
      <w:pPr>
        <w:pStyle w:val="Odstavekseznama"/>
        <w:suppressAutoHyphens w:val="0"/>
        <w:ind w:left="0"/>
        <w:jc w:val="both"/>
        <w:rPr>
          <w:rFonts w:ascii="Arial" w:hAnsi="Arial" w:cs="Arial"/>
          <w:sz w:val="20"/>
          <w:szCs w:val="20"/>
        </w:rPr>
      </w:pPr>
      <w:r w:rsidRPr="00E564A6">
        <w:rPr>
          <w:rFonts w:ascii="Arial" w:hAnsi="Arial" w:cs="Arial"/>
          <w:sz w:val="20"/>
          <w:szCs w:val="20"/>
        </w:rPr>
        <w:t>Tabela 5</w:t>
      </w:r>
      <w:r w:rsidRPr="00E564A6">
        <w:rPr>
          <w:rFonts w:ascii="Arial" w:hAnsi="Arial" w:cs="Arial"/>
          <w:sz w:val="20"/>
          <w:szCs w:val="20"/>
        </w:rPr>
        <w:noBreakHyphen/>
        <w:t>3</w:t>
      </w:r>
      <w:r w:rsidRPr="00E564A6">
        <w:rPr>
          <w:rFonts w:ascii="Arial" w:hAnsi="Arial" w:cs="Arial"/>
          <w:sz w:val="20"/>
          <w:szCs w:val="20"/>
          <w:lang w:eastAsia="sl-SI"/>
        </w:rPr>
        <w:t xml:space="preserve">: </w:t>
      </w:r>
      <w:r w:rsidRPr="00E564A6">
        <w:rPr>
          <w:rFonts w:ascii="Arial" w:hAnsi="Arial" w:cs="Arial"/>
          <w:sz w:val="20"/>
          <w:szCs w:val="20"/>
        </w:rPr>
        <w:t>Predvidena dinamika vlaganj investicijskega vzdrževanja in investicij, ceste (v mio EUR)</w:t>
      </w:r>
    </w:p>
    <w:tbl>
      <w:tblPr>
        <w:tblW w:w="13840" w:type="dxa"/>
        <w:tblInd w:w="55" w:type="dxa"/>
        <w:tblCellMar>
          <w:left w:w="70" w:type="dxa"/>
          <w:right w:w="70" w:type="dxa"/>
        </w:tblCellMar>
        <w:tblLook w:val="04A0" w:firstRow="1" w:lastRow="0" w:firstColumn="1" w:lastColumn="0" w:noHBand="0" w:noVBand="1"/>
      </w:tblPr>
      <w:tblGrid>
        <w:gridCol w:w="460"/>
        <w:gridCol w:w="4120"/>
        <w:gridCol w:w="960"/>
        <w:gridCol w:w="960"/>
        <w:gridCol w:w="960"/>
        <w:gridCol w:w="960"/>
        <w:gridCol w:w="960"/>
        <w:gridCol w:w="960"/>
        <w:gridCol w:w="1020"/>
        <w:gridCol w:w="1240"/>
        <w:gridCol w:w="1240"/>
      </w:tblGrid>
      <w:tr w:rsidR="00B70049" w:rsidRPr="00B70049" w:rsidTr="00B70049">
        <w:trPr>
          <w:trHeight w:val="450"/>
        </w:trPr>
        <w:tc>
          <w:tcPr>
            <w:tcW w:w="4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 </w:t>
            </w:r>
          </w:p>
        </w:tc>
        <w:tc>
          <w:tcPr>
            <w:tcW w:w="4120"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rPr>
                <w:rFonts w:ascii="Arial" w:hAnsi="Arial" w:cs="Arial"/>
                <w:b/>
                <w:bCs/>
                <w:sz w:val="16"/>
                <w:szCs w:val="16"/>
                <w:lang w:eastAsia="sl-SI"/>
              </w:rPr>
            </w:pPr>
            <w:r w:rsidRPr="00B70049">
              <w:rPr>
                <w:rFonts w:ascii="Arial" w:hAnsi="Arial" w:cs="Arial"/>
                <w:b/>
                <w:bCs/>
                <w:sz w:val="16"/>
                <w:szCs w:val="16"/>
                <w:lang w:eastAsia="sl-SI"/>
              </w:rPr>
              <w:t>Cestni promet</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2016</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2017</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2018</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2019</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2020</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2021</w:t>
            </w:r>
          </w:p>
        </w:tc>
        <w:tc>
          <w:tcPr>
            <w:tcW w:w="1020"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2022</w:t>
            </w:r>
          </w:p>
        </w:tc>
        <w:tc>
          <w:tcPr>
            <w:tcW w:w="1240"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Skupaj 2016-2022</w:t>
            </w:r>
          </w:p>
        </w:tc>
        <w:tc>
          <w:tcPr>
            <w:tcW w:w="1240"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Skupaj 2023-2030</w:t>
            </w:r>
          </w:p>
        </w:tc>
      </w:tr>
      <w:tr w:rsidR="00B70049" w:rsidRPr="00B70049" w:rsidTr="00B70049">
        <w:trPr>
          <w:trHeight w:val="225"/>
        </w:trPr>
        <w:tc>
          <w:tcPr>
            <w:tcW w:w="460" w:type="dxa"/>
            <w:tcBorders>
              <w:top w:val="nil"/>
              <w:left w:val="single" w:sz="4" w:space="0" w:color="auto"/>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w:t>
            </w:r>
          </w:p>
        </w:tc>
        <w:tc>
          <w:tcPr>
            <w:tcW w:w="41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rPr>
                <w:rFonts w:ascii="Arial" w:hAnsi="Arial" w:cs="Arial"/>
                <w:sz w:val="16"/>
                <w:szCs w:val="16"/>
                <w:lang w:eastAsia="sl-SI"/>
              </w:rPr>
            </w:pPr>
            <w:r w:rsidRPr="00B70049">
              <w:rPr>
                <w:rFonts w:ascii="Arial" w:hAnsi="Arial" w:cs="Arial"/>
                <w:sz w:val="16"/>
                <w:szCs w:val="16"/>
                <w:lang w:eastAsia="sl-SI"/>
              </w:rPr>
              <w:t>priprava</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12,23</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23,51</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22,02</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11,61</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7,36</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6,87</w:t>
            </w:r>
          </w:p>
        </w:tc>
        <w:tc>
          <w:tcPr>
            <w:tcW w:w="10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3,14</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86,75</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37,02</w:t>
            </w:r>
          </w:p>
        </w:tc>
      </w:tr>
      <w:tr w:rsidR="00B70049" w:rsidRPr="00B70049" w:rsidTr="00B70049">
        <w:trPr>
          <w:trHeight w:val="225"/>
        </w:trPr>
        <w:tc>
          <w:tcPr>
            <w:tcW w:w="460" w:type="dxa"/>
            <w:tcBorders>
              <w:top w:val="nil"/>
              <w:left w:val="single" w:sz="4" w:space="0" w:color="auto"/>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1.1</w:t>
            </w:r>
          </w:p>
        </w:tc>
        <w:tc>
          <w:tcPr>
            <w:tcW w:w="412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CA75C0">
            <w:pPr>
              <w:suppressAutoHyphens w:val="0"/>
              <w:ind w:firstLineChars="400" w:firstLine="640"/>
              <w:rPr>
                <w:rFonts w:ascii="Arial" w:hAnsi="Arial" w:cs="Arial"/>
                <w:sz w:val="16"/>
                <w:szCs w:val="16"/>
                <w:lang w:eastAsia="sl-SI"/>
              </w:rPr>
            </w:pPr>
            <w:r w:rsidRPr="00B70049">
              <w:rPr>
                <w:rFonts w:ascii="Arial" w:hAnsi="Arial" w:cs="Arial"/>
                <w:sz w:val="16"/>
                <w:szCs w:val="16"/>
                <w:lang w:eastAsia="sl-SI"/>
              </w:rPr>
              <w:t>MZI</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4,80</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2,85</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3,15</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0,00</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0,00</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0,00</w:t>
            </w:r>
          </w:p>
        </w:tc>
        <w:tc>
          <w:tcPr>
            <w:tcW w:w="102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0,00</w:t>
            </w:r>
          </w:p>
        </w:tc>
        <w:tc>
          <w:tcPr>
            <w:tcW w:w="124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10,80</w:t>
            </w:r>
          </w:p>
        </w:tc>
        <w:tc>
          <w:tcPr>
            <w:tcW w:w="124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2,00</w:t>
            </w:r>
          </w:p>
        </w:tc>
      </w:tr>
      <w:tr w:rsidR="00B70049" w:rsidRPr="00B70049" w:rsidTr="00B70049">
        <w:trPr>
          <w:trHeight w:val="225"/>
        </w:trPr>
        <w:tc>
          <w:tcPr>
            <w:tcW w:w="460" w:type="dxa"/>
            <w:tcBorders>
              <w:top w:val="nil"/>
              <w:left w:val="single" w:sz="4" w:space="0" w:color="auto"/>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1.2</w:t>
            </w:r>
          </w:p>
        </w:tc>
        <w:tc>
          <w:tcPr>
            <w:tcW w:w="41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CA75C0">
            <w:pPr>
              <w:suppressAutoHyphens w:val="0"/>
              <w:ind w:firstLineChars="400" w:firstLine="640"/>
              <w:rPr>
                <w:rFonts w:ascii="Arial" w:hAnsi="Arial" w:cs="Arial"/>
                <w:sz w:val="16"/>
                <w:szCs w:val="16"/>
                <w:lang w:eastAsia="sl-SI"/>
              </w:rPr>
            </w:pPr>
            <w:r w:rsidRPr="00B70049">
              <w:rPr>
                <w:rFonts w:ascii="Arial" w:hAnsi="Arial" w:cs="Arial"/>
                <w:sz w:val="16"/>
                <w:szCs w:val="16"/>
                <w:lang w:eastAsia="sl-SI"/>
              </w:rPr>
              <w:t>DARS d.d.</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7,38</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20,36</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16,15</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11,61</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7,36</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6,87</w:t>
            </w:r>
          </w:p>
        </w:tc>
        <w:tc>
          <w:tcPr>
            <w:tcW w:w="10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3,14</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72,88</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35,02</w:t>
            </w:r>
          </w:p>
        </w:tc>
      </w:tr>
      <w:tr w:rsidR="00B70049" w:rsidRPr="00B70049" w:rsidTr="00B70049">
        <w:trPr>
          <w:trHeight w:val="225"/>
        </w:trPr>
        <w:tc>
          <w:tcPr>
            <w:tcW w:w="460" w:type="dxa"/>
            <w:tcBorders>
              <w:top w:val="nil"/>
              <w:left w:val="single" w:sz="4" w:space="0" w:color="auto"/>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1.3</w:t>
            </w:r>
          </w:p>
        </w:tc>
        <w:tc>
          <w:tcPr>
            <w:tcW w:w="41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CA75C0">
            <w:pPr>
              <w:suppressAutoHyphens w:val="0"/>
              <w:ind w:firstLineChars="400" w:firstLine="640"/>
              <w:rPr>
                <w:rFonts w:ascii="Arial" w:hAnsi="Arial" w:cs="Arial"/>
                <w:sz w:val="16"/>
                <w:szCs w:val="16"/>
                <w:lang w:eastAsia="sl-SI"/>
              </w:rPr>
            </w:pPr>
            <w:r w:rsidRPr="00B70049">
              <w:rPr>
                <w:rFonts w:ascii="Arial" w:hAnsi="Arial" w:cs="Arial"/>
                <w:sz w:val="16"/>
                <w:szCs w:val="16"/>
                <w:lang w:eastAsia="sl-SI"/>
              </w:rPr>
              <w:t>Zasebni investitorji/Občine</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0,05</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0,30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2,72</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0,00</w:t>
            </w:r>
          </w:p>
        </w:tc>
        <w:tc>
          <w:tcPr>
            <w:tcW w:w="10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0,00</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3,07</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0,00</w:t>
            </w:r>
          </w:p>
        </w:tc>
      </w:tr>
      <w:tr w:rsidR="00B70049" w:rsidRPr="00B70049" w:rsidTr="00B70049">
        <w:trPr>
          <w:trHeight w:val="225"/>
        </w:trPr>
        <w:tc>
          <w:tcPr>
            <w:tcW w:w="460" w:type="dxa"/>
            <w:tcBorders>
              <w:top w:val="nil"/>
              <w:left w:val="single" w:sz="4" w:space="0" w:color="auto"/>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w:t>
            </w:r>
          </w:p>
        </w:tc>
        <w:tc>
          <w:tcPr>
            <w:tcW w:w="41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rPr>
                <w:rFonts w:ascii="Arial" w:hAnsi="Arial" w:cs="Arial"/>
                <w:sz w:val="16"/>
                <w:szCs w:val="16"/>
                <w:lang w:eastAsia="sl-SI"/>
              </w:rPr>
            </w:pPr>
            <w:r w:rsidRPr="00B70049">
              <w:rPr>
                <w:rFonts w:ascii="Arial" w:hAnsi="Arial" w:cs="Arial"/>
                <w:sz w:val="16"/>
                <w:szCs w:val="16"/>
                <w:lang w:eastAsia="sl-SI"/>
              </w:rPr>
              <w:t>izvedba</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123,02</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292,18</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308,05</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401,43</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494,15</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489,63</w:t>
            </w:r>
          </w:p>
        </w:tc>
        <w:tc>
          <w:tcPr>
            <w:tcW w:w="10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405,93</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2.514,38</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2.305,02</w:t>
            </w:r>
          </w:p>
        </w:tc>
      </w:tr>
      <w:tr w:rsidR="00B70049" w:rsidRPr="00B70049" w:rsidTr="00B70049">
        <w:trPr>
          <w:trHeight w:val="225"/>
        </w:trPr>
        <w:tc>
          <w:tcPr>
            <w:tcW w:w="460" w:type="dxa"/>
            <w:tcBorders>
              <w:top w:val="nil"/>
              <w:left w:val="single" w:sz="4" w:space="0" w:color="auto"/>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2.1</w:t>
            </w:r>
          </w:p>
        </w:tc>
        <w:tc>
          <w:tcPr>
            <w:tcW w:w="412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CA75C0">
            <w:pPr>
              <w:suppressAutoHyphens w:val="0"/>
              <w:ind w:firstLineChars="400" w:firstLine="640"/>
              <w:rPr>
                <w:rFonts w:ascii="Arial" w:hAnsi="Arial" w:cs="Arial"/>
                <w:sz w:val="16"/>
                <w:szCs w:val="16"/>
                <w:lang w:eastAsia="sl-SI"/>
              </w:rPr>
            </w:pPr>
            <w:r w:rsidRPr="00B70049">
              <w:rPr>
                <w:rFonts w:ascii="Arial" w:hAnsi="Arial" w:cs="Arial"/>
                <w:sz w:val="16"/>
                <w:szCs w:val="16"/>
                <w:lang w:eastAsia="sl-SI"/>
              </w:rPr>
              <w:t>MZI</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2,80</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0,90</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0,50</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0,00</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0,00</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0,00</w:t>
            </w:r>
          </w:p>
        </w:tc>
        <w:tc>
          <w:tcPr>
            <w:tcW w:w="102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0,00</w:t>
            </w:r>
          </w:p>
        </w:tc>
        <w:tc>
          <w:tcPr>
            <w:tcW w:w="124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4,20</w:t>
            </w:r>
          </w:p>
        </w:tc>
        <w:tc>
          <w:tcPr>
            <w:tcW w:w="124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0,00</w:t>
            </w:r>
          </w:p>
        </w:tc>
      </w:tr>
      <w:tr w:rsidR="00B70049" w:rsidRPr="00B70049" w:rsidTr="00B70049">
        <w:trPr>
          <w:trHeight w:val="225"/>
        </w:trPr>
        <w:tc>
          <w:tcPr>
            <w:tcW w:w="460" w:type="dxa"/>
            <w:tcBorders>
              <w:top w:val="nil"/>
              <w:left w:val="single" w:sz="4" w:space="0" w:color="auto"/>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2.2</w:t>
            </w:r>
          </w:p>
        </w:tc>
        <w:tc>
          <w:tcPr>
            <w:tcW w:w="412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CA75C0">
            <w:pPr>
              <w:suppressAutoHyphens w:val="0"/>
              <w:ind w:firstLineChars="400" w:firstLine="640"/>
              <w:rPr>
                <w:rFonts w:ascii="Arial" w:hAnsi="Arial" w:cs="Arial"/>
                <w:sz w:val="16"/>
                <w:szCs w:val="16"/>
                <w:lang w:eastAsia="sl-SI"/>
              </w:rPr>
            </w:pPr>
            <w:r w:rsidRPr="00B70049">
              <w:rPr>
                <w:rFonts w:ascii="Arial" w:hAnsi="Arial" w:cs="Arial"/>
                <w:sz w:val="16"/>
                <w:szCs w:val="16"/>
                <w:lang w:eastAsia="sl-SI"/>
              </w:rPr>
              <w:t>DARS EU</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28,32</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27,18</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12,76</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1,87</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0,00</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0,00</w:t>
            </w:r>
          </w:p>
        </w:tc>
        <w:tc>
          <w:tcPr>
            <w:tcW w:w="102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0,00</w:t>
            </w:r>
          </w:p>
        </w:tc>
        <w:tc>
          <w:tcPr>
            <w:tcW w:w="124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70,13</w:t>
            </w:r>
          </w:p>
        </w:tc>
        <w:tc>
          <w:tcPr>
            <w:tcW w:w="124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0,00</w:t>
            </w:r>
          </w:p>
        </w:tc>
      </w:tr>
      <w:tr w:rsidR="00B70049" w:rsidRPr="00B70049" w:rsidTr="00B70049">
        <w:trPr>
          <w:trHeight w:val="225"/>
        </w:trPr>
        <w:tc>
          <w:tcPr>
            <w:tcW w:w="460" w:type="dxa"/>
            <w:tcBorders>
              <w:top w:val="nil"/>
              <w:left w:val="single" w:sz="4" w:space="0" w:color="auto"/>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2.3</w:t>
            </w:r>
          </w:p>
        </w:tc>
        <w:tc>
          <w:tcPr>
            <w:tcW w:w="41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CA75C0">
            <w:pPr>
              <w:suppressAutoHyphens w:val="0"/>
              <w:ind w:firstLineChars="400" w:firstLine="640"/>
              <w:rPr>
                <w:rFonts w:ascii="Arial" w:hAnsi="Arial" w:cs="Arial"/>
                <w:sz w:val="16"/>
                <w:szCs w:val="16"/>
                <w:lang w:eastAsia="sl-SI"/>
              </w:rPr>
            </w:pPr>
            <w:r w:rsidRPr="00B70049">
              <w:rPr>
                <w:rFonts w:ascii="Arial" w:hAnsi="Arial" w:cs="Arial"/>
                <w:sz w:val="16"/>
                <w:szCs w:val="16"/>
                <w:lang w:eastAsia="sl-SI"/>
              </w:rPr>
              <w:t>DARS d.d. investicije</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34,16</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179,34</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197,79</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287,70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374,30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379,78</w:t>
            </w:r>
          </w:p>
        </w:tc>
        <w:tc>
          <w:tcPr>
            <w:tcW w:w="10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302,07</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1.755,13</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1.542,74</w:t>
            </w:r>
          </w:p>
        </w:tc>
      </w:tr>
      <w:tr w:rsidR="00B70049" w:rsidRPr="00B70049" w:rsidTr="00B70049">
        <w:trPr>
          <w:trHeight w:val="225"/>
        </w:trPr>
        <w:tc>
          <w:tcPr>
            <w:tcW w:w="460" w:type="dxa"/>
            <w:tcBorders>
              <w:top w:val="nil"/>
              <w:left w:val="single" w:sz="4" w:space="0" w:color="auto"/>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2.4</w:t>
            </w:r>
          </w:p>
        </w:tc>
        <w:tc>
          <w:tcPr>
            <w:tcW w:w="41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CA75C0">
            <w:pPr>
              <w:suppressAutoHyphens w:val="0"/>
              <w:ind w:firstLineChars="400" w:firstLine="640"/>
              <w:rPr>
                <w:rFonts w:ascii="Arial" w:hAnsi="Arial" w:cs="Arial"/>
                <w:sz w:val="16"/>
                <w:szCs w:val="16"/>
                <w:lang w:eastAsia="sl-SI"/>
              </w:rPr>
            </w:pPr>
            <w:r w:rsidRPr="00B70049">
              <w:rPr>
                <w:rFonts w:ascii="Arial" w:hAnsi="Arial" w:cs="Arial"/>
                <w:sz w:val="16"/>
                <w:szCs w:val="16"/>
                <w:lang w:eastAsia="sl-SI"/>
              </w:rPr>
              <w:t>DARS d.d. obnove AC</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57,74</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80,76</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91,00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91,00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91,00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91,00</w:t>
            </w:r>
          </w:p>
        </w:tc>
        <w:tc>
          <w:tcPr>
            <w:tcW w:w="10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91,00</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593,50</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728,00</w:t>
            </w:r>
          </w:p>
        </w:tc>
      </w:tr>
      <w:tr w:rsidR="00B70049" w:rsidRPr="00B70049" w:rsidTr="00B70049">
        <w:trPr>
          <w:trHeight w:val="225"/>
        </w:trPr>
        <w:tc>
          <w:tcPr>
            <w:tcW w:w="460" w:type="dxa"/>
            <w:tcBorders>
              <w:top w:val="nil"/>
              <w:left w:val="single" w:sz="4" w:space="0" w:color="auto"/>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2.5</w:t>
            </w:r>
          </w:p>
        </w:tc>
        <w:tc>
          <w:tcPr>
            <w:tcW w:w="41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CA75C0">
            <w:pPr>
              <w:suppressAutoHyphens w:val="0"/>
              <w:ind w:firstLineChars="400" w:firstLine="640"/>
              <w:rPr>
                <w:rFonts w:ascii="Arial" w:hAnsi="Arial" w:cs="Arial"/>
                <w:sz w:val="16"/>
                <w:szCs w:val="16"/>
                <w:lang w:eastAsia="sl-SI"/>
              </w:rPr>
            </w:pPr>
            <w:r w:rsidRPr="00B70049">
              <w:rPr>
                <w:rFonts w:ascii="Arial" w:hAnsi="Arial" w:cs="Arial"/>
                <w:sz w:val="16"/>
                <w:szCs w:val="16"/>
                <w:lang w:eastAsia="sl-SI"/>
              </w:rPr>
              <w:t>Zasebni investitorji/Občine</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6,00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20,86</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28,86</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18,86</w:t>
            </w:r>
          </w:p>
        </w:tc>
        <w:tc>
          <w:tcPr>
            <w:tcW w:w="10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12,86</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91,42</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34,28</w:t>
            </w:r>
          </w:p>
        </w:tc>
      </w:tr>
      <w:tr w:rsidR="00B70049" w:rsidRPr="00B70049" w:rsidTr="00B70049">
        <w:trPr>
          <w:trHeight w:val="225"/>
        </w:trPr>
        <w:tc>
          <w:tcPr>
            <w:tcW w:w="460" w:type="dxa"/>
            <w:tcBorders>
              <w:top w:val="nil"/>
              <w:left w:val="single" w:sz="4" w:space="0" w:color="auto"/>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3.</w:t>
            </w:r>
          </w:p>
        </w:tc>
        <w:tc>
          <w:tcPr>
            <w:tcW w:w="412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rPr>
                <w:rFonts w:ascii="Arial" w:hAnsi="Arial" w:cs="Arial"/>
                <w:sz w:val="16"/>
                <w:szCs w:val="16"/>
                <w:lang w:eastAsia="sl-SI"/>
              </w:rPr>
            </w:pPr>
            <w:r w:rsidRPr="00B70049">
              <w:rPr>
                <w:rFonts w:ascii="Arial" w:hAnsi="Arial" w:cs="Arial"/>
                <w:sz w:val="16"/>
                <w:szCs w:val="16"/>
                <w:lang w:eastAsia="sl-SI"/>
              </w:rPr>
              <w:t>Skupaj MZI + DARS EU</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35,92</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30,93</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16,41</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1,87</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0,00</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0,00</w:t>
            </w:r>
          </w:p>
        </w:tc>
        <w:tc>
          <w:tcPr>
            <w:tcW w:w="102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0,00</w:t>
            </w:r>
          </w:p>
        </w:tc>
        <w:tc>
          <w:tcPr>
            <w:tcW w:w="124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85,13</w:t>
            </w:r>
          </w:p>
        </w:tc>
        <w:tc>
          <w:tcPr>
            <w:tcW w:w="124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2,00</w:t>
            </w:r>
          </w:p>
        </w:tc>
      </w:tr>
      <w:tr w:rsidR="00B70049" w:rsidRPr="00B70049" w:rsidTr="00B70049">
        <w:trPr>
          <w:trHeight w:val="225"/>
        </w:trPr>
        <w:tc>
          <w:tcPr>
            <w:tcW w:w="460" w:type="dxa"/>
            <w:tcBorders>
              <w:top w:val="nil"/>
              <w:left w:val="single" w:sz="4" w:space="0" w:color="auto"/>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w:t>
            </w:r>
          </w:p>
        </w:tc>
        <w:tc>
          <w:tcPr>
            <w:tcW w:w="41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rPr>
                <w:rFonts w:ascii="Arial" w:hAnsi="Arial" w:cs="Arial"/>
                <w:sz w:val="16"/>
                <w:szCs w:val="16"/>
                <w:lang w:eastAsia="sl-SI"/>
              </w:rPr>
            </w:pPr>
            <w:r w:rsidRPr="00B70049">
              <w:rPr>
                <w:rFonts w:ascii="Arial" w:hAnsi="Arial" w:cs="Arial"/>
                <w:sz w:val="16"/>
                <w:szCs w:val="16"/>
                <w:lang w:eastAsia="sl-SI"/>
              </w:rPr>
              <w:t>Skupaj DARS d.d.</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99,28</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280,45</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304,94</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390,31</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472,65</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477,65</w:t>
            </w:r>
          </w:p>
        </w:tc>
        <w:tc>
          <w:tcPr>
            <w:tcW w:w="10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396,21</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2.421,51</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2.305,75</w:t>
            </w:r>
          </w:p>
        </w:tc>
      </w:tr>
      <w:tr w:rsidR="00B70049" w:rsidRPr="00B70049" w:rsidTr="00B70049">
        <w:trPr>
          <w:trHeight w:val="225"/>
        </w:trPr>
        <w:tc>
          <w:tcPr>
            <w:tcW w:w="460" w:type="dxa"/>
            <w:tcBorders>
              <w:top w:val="nil"/>
              <w:left w:val="single" w:sz="4" w:space="0" w:color="auto"/>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5.</w:t>
            </w:r>
          </w:p>
        </w:tc>
        <w:tc>
          <w:tcPr>
            <w:tcW w:w="41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rPr>
                <w:rFonts w:ascii="Arial" w:hAnsi="Arial" w:cs="Arial"/>
                <w:sz w:val="16"/>
                <w:szCs w:val="16"/>
                <w:lang w:eastAsia="sl-SI"/>
              </w:rPr>
            </w:pPr>
            <w:r w:rsidRPr="00B70049">
              <w:rPr>
                <w:rFonts w:ascii="Arial" w:hAnsi="Arial" w:cs="Arial"/>
                <w:sz w:val="16"/>
                <w:szCs w:val="16"/>
                <w:lang w:eastAsia="sl-SI"/>
              </w:rPr>
              <w:t>Skupaj Zasebni investitorji/Občine</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0,05</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4,30</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8,72</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20,86</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28,86</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18,86</w:t>
            </w:r>
          </w:p>
        </w:tc>
        <w:tc>
          <w:tcPr>
            <w:tcW w:w="10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12,86</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94,49</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34,28</w:t>
            </w:r>
          </w:p>
        </w:tc>
      </w:tr>
      <w:tr w:rsidR="00B70049" w:rsidRPr="00B70049" w:rsidTr="00B70049">
        <w:trPr>
          <w:trHeight w:val="225"/>
        </w:trPr>
        <w:tc>
          <w:tcPr>
            <w:tcW w:w="460" w:type="dxa"/>
            <w:tcBorders>
              <w:top w:val="nil"/>
              <w:left w:val="single" w:sz="4" w:space="0" w:color="auto"/>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w:t>
            </w:r>
          </w:p>
        </w:tc>
        <w:tc>
          <w:tcPr>
            <w:tcW w:w="412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rPr>
                <w:rFonts w:ascii="Arial" w:hAnsi="Arial" w:cs="Arial"/>
                <w:sz w:val="16"/>
                <w:szCs w:val="16"/>
                <w:lang w:eastAsia="sl-SI"/>
              </w:rPr>
            </w:pPr>
            <w:r w:rsidRPr="00B70049">
              <w:rPr>
                <w:rFonts w:ascii="Arial" w:hAnsi="Arial" w:cs="Arial"/>
                <w:sz w:val="16"/>
                <w:szCs w:val="16"/>
                <w:lang w:eastAsia="sl-SI"/>
              </w:rPr>
              <w:t>DRSI: Investicijsko vzdrževanje in gradnja cest</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87,16</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152,16</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196,00</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196,00</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196,00</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196,00</w:t>
            </w:r>
          </w:p>
        </w:tc>
        <w:tc>
          <w:tcPr>
            <w:tcW w:w="102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196,00</w:t>
            </w:r>
          </w:p>
        </w:tc>
        <w:tc>
          <w:tcPr>
            <w:tcW w:w="124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1.219,32</w:t>
            </w:r>
          </w:p>
        </w:tc>
        <w:tc>
          <w:tcPr>
            <w:tcW w:w="124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1.568,00</w:t>
            </w:r>
          </w:p>
        </w:tc>
      </w:tr>
      <w:tr w:rsidR="00B70049" w:rsidRPr="00B70049" w:rsidTr="00B70049">
        <w:trPr>
          <w:trHeight w:val="225"/>
        </w:trPr>
        <w:tc>
          <w:tcPr>
            <w:tcW w:w="460" w:type="dxa"/>
            <w:tcBorders>
              <w:top w:val="nil"/>
              <w:left w:val="single" w:sz="4" w:space="0" w:color="auto"/>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7.</w:t>
            </w:r>
          </w:p>
        </w:tc>
        <w:tc>
          <w:tcPr>
            <w:tcW w:w="41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rPr>
                <w:rFonts w:ascii="Arial" w:hAnsi="Arial" w:cs="Arial"/>
                <w:b/>
                <w:bCs/>
                <w:sz w:val="16"/>
                <w:szCs w:val="16"/>
                <w:lang w:eastAsia="sl-SI"/>
              </w:rPr>
            </w:pPr>
            <w:r w:rsidRPr="00B70049">
              <w:rPr>
                <w:rFonts w:ascii="Arial" w:hAnsi="Arial" w:cs="Arial"/>
                <w:b/>
                <w:bCs/>
                <w:sz w:val="16"/>
                <w:szCs w:val="16"/>
                <w:lang w:eastAsia="sl-SI"/>
              </w:rPr>
              <w:t>Ceste skupaj (3+4+5+6)</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222,41</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467,84</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526,08</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609,04</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697,51</w:t>
            </w:r>
          </w:p>
        </w:tc>
        <w:tc>
          <w:tcPr>
            <w:tcW w:w="96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692,51</w:t>
            </w:r>
          </w:p>
        </w:tc>
        <w:tc>
          <w:tcPr>
            <w:tcW w:w="102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605,07</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3.820,45</w:t>
            </w:r>
          </w:p>
        </w:tc>
        <w:tc>
          <w:tcPr>
            <w:tcW w:w="124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3.910,03</w:t>
            </w:r>
          </w:p>
        </w:tc>
      </w:tr>
      <w:tr w:rsidR="00B70049" w:rsidRPr="00B70049" w:rsidTr="00B70049">
        <w:trPr>
          <w:trHeight w:val="225"/>
        </w:trPr>
        <w:tc>
          <w:tcPr>
            <w:tcW w:w="460" w:type="dxa"/>
            <w:tcBorders>
              <w:top w:val="nil"/>
              <w:left w:val="single" w:sz="4" w:space="0" w:color="auto"/>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8.</w:t>
            </w:r>
          </w:p>
        </w:tc>
        <w:tc>
          <w:tcPr>
            <w:tcW w:w="412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rPr>
                <w:rFonts w:ascii="Arial" w:hAnsi="Arial" w:cs="Arial"/>
                <w:b/>
                <w:bCs/>
                <w:sz w:val="16"/>
                <w:szCs w:val="16"/>
                <w:lang w:eastAsia="sl-SI"/>
              </w:rPr>
            </w:pPr>
            <w:r w:rsidRPr="00B70049">
              <w:rPr>
                <w:rFonts w:ascii="Arial" w:hAnsi="Arial" w:cs="Arial"/>
                <w:b/>
                <w:bCs/>
                <w:sz w:val="16"/>
                <w:szCs w:val="16"/>
                <w:lang w:eastAsia="sl-SI"/>
              </w:rPr>
              <w:t>Ceste - vlaganja države (3+6)</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123,08</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183,09</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212,41</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197,87</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196,00</w:t>
            </w:r>
          </w:p>
        </w:tc>
        <w:tc>
          <w:tcPr>
            <w:tcW w:w="96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196,00</w:t>
            </w:r>
          </w:p>
        </w:tc>
        <w:tc>
          <w:tcPr>
            <w:tcW w:w="102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196,00</w:t>
            </w:r>
          </w:p>
        </w:tc>
        <w:tc>
          <w:tcPr>
            <w:tcW w:w="124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1.304,45</w:t>
            </w:r>
          </w:p>
        </w:tc>
        <w:tc>
          <w:tcPr>
            <w:tcW w:w="1240" w:type="dxa"/>
            <w:tcBorders>
              <w:top w:val="nil"/>
              <w:left w:val="nil"/>
              <w:bottom w:val="single" w:sz="4" w:space="0" w:color="auto"/>
              <w:right w:val="single" w:sz="4" w:space="0" w:color="auto"/>
            </w:tcBorders>
            <w:shd w:val="clear" w:color="000000" w:fill="D9D9D9"/>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1.570,00</w:t>
            </w:r>
          </w:p>
        </w:tc>
      </w:tr>
    </w:tbl>
    <w:p w:rsidR="00B70049" w:rsidRDefault="00B70049" w:rsidP="00D91D1F">
      <w:pPr>
        <w:pStyle w:val="Odstavekseznama"/>
        <w:suppressAutoHyphens w:val="0"/>
        <w:ind w:left="0"/>
        <w:jc w:val="both"/>
        <w:rPr>
          <w:rFonts w:ascii="Arial" w:hAnsi="Arial" w:cs="Arial"/>
          <w:szCs w:val="22"/>
        </w:rPr>
      </w:pPr>
    </w:p>
    <w:p w:rsidR="00D91D1F" w:rsidRPr="00E564A6" w:rsidRDefault="00D91D1F" w:rsidP="00D91D1F">
      <w:pPr>
        <w:pStyle w:val="Odstavekseznama"/>
        <w:suppressAutoHyphens w:val="0"/>
        <w:ind w:left="0"/>
        <w:jc w:val="both"/>
        <w:rPr>
          <w:rFonts w:ascii="Arial" w:hAnsi="Arial" w:cs="Arial"/>
          <w:sz w:val="20"/>
          <w:szCs w:val="22"/>
        </w:rPr>
      </w:pPr>
      <w:r w:rsidRPr="00E564A6">
        <w:rPr>
          <w:rFonts w:ascii="Arial" w:hAnsi="Arial" w:cs="Arial"/>
          <w:sz w:val="20"/>
          <w:szCs w:val="22"/>
        </w:rPr>
        <w:t>Na področju cest je predvideno sofinanciranje z EU sredstvi v ocenjeni višini 132 mio EUR.</w:t>
      </w:r>
    </w:p>
    <w:p w:rsidR="00D91D1F" w:rsidRDefault="00D91D1F" w:rsidP="00D91D1F">
      <w:pPr>
        <w:pStyle w:val="Odstavekseznama"/>
        <w:suppressAutoHyphens w:val="0"/>
        <w:ind w:left="0"/>
        <w:jc w:val="both"/>
        <w:rPr>
          <w:rFonts w:ascii="Arial" w:hAnsi="Arial" w:cs="Arial"/>
          <w:sz w:val="20"/>
          <w:szCs w:val="22"/>
        </w:rPr>
      </w:pPr>
    </w:p>
    <w:p w:rsidR="00B70049" w:rsidRPr="00E564A6" w:rsidRDefault="00B70049" w:rsidP="00D91D1F">
      <w:pPr>
        <w:pStyle w:val="Odstavekseznama"/>
        <w:suppressAutoHyphens w:val="0"/>
        <w:ind w:left="0"/>
        <w:jc w:val="both"/>
        <w:rPr>
          <w:rFonts w:ascii="Arial" w:hAnsi="Arial" w:cs="Arial"/>
          <w:sz w:val="20"/>
          <w:szCs w:val="22"/>
        </w:rPr>
      </w:pPr>
    </w:p>
    <w:p w:rsidR="00D91D1F" w:rsidRPr="00E564A6" w:rsidRDefault="00D91D1F" w:rsidP="00D91D1F">
      <w:pPr>
        <w:pStyle w:val="Odstavekseznama"/>
        <w:suppressAutoHyphens w:val="0"/>
        <w:ind w:left="0"/>
        <w:jc w:val="both"/>
        <w:rPr>
          <w:rFonts w:ascii="Arial" w:hAnsi="Arial" w:cs="Arial"/>
          <w:sz w:val="20"/>
          <w:szCs w:val="22"/>
        </w:rPr>
      </w:pPr>
      <w:r w:rsidRPr="00E564A6">
        <w:rPr>
          <w:rFonts w:ascii="Arial" w:hAnsi="Arial" w:cs="Arial"/>
          <w:sz w:val="20"/>
        </w:rPr>
        <w:t>Tabela 5</w:t>
      </w:r>
      <w:r w:rsidRPr="00E564A6">
        <w:rPr>
          <w:rFonts w:ascii="Arial" w:hAnsi="Arial" w:cs="Arial"/>
          <w:sz w:val="20"/>
        </w:rPr>
        <w:noBreakHyphen/>
        <w:t>4</w:t>
      </w:r>
      <w:r w:rsidRPr="00E564A6">
        <w:rPr>
          <w:rFonts w:ascii="Arial" w:hAnsi="Arial" w:cs="Arial"/>
          <w:sz w:val="20"/>
          <w:szCs w:val="22"/>
          <w:lang w:eastAsia="sl-SI"/>
        </w:rPr>
        <w:t xml:space="preserve">: </w:t>
      </w:r>
      <w:r w:rsidRPr="00E564A6">
        <w:rPr>
          <w:rFonts w:ascii="Arial" w:hAnsi="Arial" w:cs="Arial"/>
          <w:sz w:val="20"/>
          <w:szCs w:val="22"/>
        </w:rPr>
        <w:t>Predvidena dinamika vlaganj rednega vzdrževanja</w:t>
      </w:r>
      <w:r w:rsidR="00B70049">
        <w:rPr>
          <w:rFonts w:ascii="Arial" w:hAnsi="Arial" w:cs="Arial"/>
          <w:sz w:val="20"/>
          <w:szCs w:val="22"/>
        </w:rPr>
        <w:t xml:space="preserve"> v </w:t>
      </w:r>
      <w:r w:rsidRPr="00E564A6">
        <w:rPr>
          <w:rFonts w:ascii="Arial" w:hAnsi="Arial" w:cs="Arial"/>
          <w:sz w:val="20"/>
          <w:szCs w:val="22"/>
        </w:rPr>
        <w:t>ceste (v mio EUR)</w:t>
      </w:r>
    </w:p>
    <w:tbl>
      <w:tblPr>
        <w:tblW w:w="13765" w:type="dxa"/>
        <w:tblInd w:w="55" w:type="dxa"/>
        <w:tblCellMar>
          <w:left w:w="70" w:type="dxa"/>
          <w:right w:w="70" w:type="dxa"/>
        </w:tblCellMar>
        <w:tblLook w:val="04A0" w:firstRow="1" w:lastRow="0" w:firstColumn="1" w:lastColumn="0" w:noHBand="0" w:noVBand="1"/>
      </w:tblPr>
      <w:tblGrid>
        <w:gridCol w:w="4551"/>
        <w:gridCol w:w="993"/>
        <w:gridCol w:w="992"/>
        <w:gridCol w:w="850"/>
        <w:gridCol w:w="993"/>
        <w:gridCol w:w="992"/>
        <w:gridCol w:w="992"/>
        <w:gridCol w:w="992"/>
        <w:gridCol w:w="1276"/>
        <w:gridCol w:w="1134"/>
      </w:tblGrid>
      <w:tr w:rsidR="00B70049" w:rsidRPr="00B70049" w:rsidTr="007A62C5">
        <w:trPr>
          <w:trHeight w:val="450"/>
        </w:trPr>
        <w:tc>
          <w:tcPr>
            <w:tcW w:w="45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70049" w:rsidRPr="00B70049" w:rsidRDefault="00B70049" w:rsidP="00B70049">
            <w:pPr>
              <w:suppressAutoHyphens w:val="0"/>
              <w:rPr>
                <w:rFonts w:ascii="Arial" w:hAnsi="Arial" w:cs="Arial"/>
                <w:b/>
                <w:bCs/>
                <w:sz w:val="16"/>
                <w:szCs w:val="16"/>
                <w:lang w:eastAsia="sl-SI"/>
              </w:rPr>
            </w:pPr>
            <w:r w:rsidRPr="00B70049">
              <w:rPr>
                <w:rFonts w:ascii="Arial" w:hAnsi="Arial" w:cs="Arial"/>
                <w:b/>
                <w:bCs/>
                <w:sz w:val="16"/>
                <w:szCs w:val="16"/>
                <w:lang w:eastAsia="sl-SI"/>
              </w:rPr>
              <w:t>Redno vzdrževanje ceste</w:t>
            </w:r>
          </w:p>
        </w:tc>
        <w:tc>
          <w:tcPr>
            <w:tcW w:w="993"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2016</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2017</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2018</w:t>
            </w:r>
          </w:p>
        </w:tc>
        <w:tc>
          <w:tcPr>
            <w:tcW w:w="993"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2019</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2020</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2021</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2022</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Skupaj 2016-2022</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Skupaj 2023-2030</w:t>
            </w:r>
          </w:p>
        </w:tc>
      </w:tr>
      <w:tr w:rsidR="00B70049" w:rsidRPr="00B70049" w:rsidTr="007A62C5">
        <w:trPr>
          <w:trHeight w:val="450"/>
        </w:trPr>
        <w:tc>
          <w:tcPr>
            <w:tcW w:w="4551" w:type="dxa"/>
            <w:tcBorders>
              <w:top w:val="nil"/>
              <w:left w:val="single" w:sz="4" w:space="0" w:color="auto"/>
              <w:bottom w:val="single" w:sz="4" w:space="0" w:color="auto"/>
              <w:right w:val="single" w:sz="4" w:space="0" w:color="auto"/>
            </w:tcBorders>
            <w:shd w:val="clear" w:color="auto" w:fill="auto"/>
            <w:vAlign w:val="center"/>
            <w:hideMark/>
          </w:tcPr>
          <w:p w:rsidR="00B70049" w:rsidRPr="00B70049" w:rsidRDefault="00B70049" w:rsidP="00B70049">
            <w:pPr>
              <w:suppressAutoHyphens w:val="0"/>
              <w:rPr>
                <w:rFonts w:ascii="Arial" w:hAnsi="Arial" w:cs="Arial"/>
                <w:sz w:val="16"/>
                <w:szCs w:val="16"/>
                <w:lang w:eastAsia="sl-SI"/>
              </w:rPr>
            </w:pPr>
            <w:r w:rsidRPr="00B70049">
              <w:rPr>
                <w:rFonts w:ascii="Arial" w:hAnsi="Arial" w:cs="Arial"/>
                <w:sz w:val="16"/>
                <w:szCs w:val="16"/>
                <w:lang w:eastAsia="sl-SI"/>
              </w:rPr>
              <w:t>DRSI: Urejanje in razvoj na področju prometa in prometne infrastrukture</w:t>
            </w:r>
          </w:p>
        </w:tc>
        <w:tc>
          <w:tcPr>
            <w:tcW w:w="993"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4,70</w:t>
            </w:r>
          </w:p>
        </w:tc>
        <w:tc>
          <w:tcPr>
            <w:tcW w:w="992"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4,70</w:t>
            </w:r>
          </w:p>
        </w:tc>
        <w:tc>
          <w:tcPr>
            <w:tcW w:w="85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5,00</w:t>
            </w:r>
          </w:p>
        </w:tc>
        <w:tc>
          <w:tcPr>
            <w:tcW w:w="993"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5,00</w:t>
            </w:r>
          </w:p>
        </w:tc>
        <w:tc>
          <w:tcPr>
            <w:tcW w:w="992"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5,00</w:t>
            </w:r>
          </w:p>
        </w:tc>
        <w:tc>
          <w:tcPr>
            <w:tcW w:w="992"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5,00</w:t>
            </w:r>
          </w:p>
        </w:tc>
        <w:tc>
          <w:tcPr>
            <w:tcW w:w="992"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5,00</w:t>
            </w:r>
          </w:p>
        </w:tc>
        <w:tc>
          <w:tcPr>
            <w:tcW w:w="1276"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34,40</w:t>
            </w:r>
          </w:p>
        </w:tc>
        <w:tc>
          <w:tcPr>
            <w:tcW w:w="1134"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40,00</w:t>
            </w:r>
          </w:p>
        </w:tc>
      </w:tr>
      <w:tr w:rsidR="00B70049" w:rsidRPr="00B70049" w:rsidTr="007A62C5">
        <w:trPr>
          <w:trHeight w:val="225"/>
        </w:trPr>
        <w:tc>
          <w:tcPr>
            <w:tcW w:w="4551" w:type="dxa"/>
            <w:tcBorders>
              <w:top w:val="nil"/>
              <w:left w:val="single" w:sz="4" w:space="0" w:color="auto"/>
              <w:bottom w:val="single" w:sz="4" w:space="0" w:color="auto"/>
              <w:right w:val="single" w:sz="4" w:space="0" w:color="auto"/>
            </w:tcBorders>
            <w:shd w:val="clear" w:color="auto" w:fill="auto"/>
            <w:vAlign w:val="center"/>
            <w:hideMark/>
          </w:tcPr>
          <w:p w:rsidR="00B70049" w:rsidRPr="00B70049" w:rsidRDefault="00B70049" w:rsidP="00B70049">
            <w:pPr>
              <w:suppressAutoHyphens w:val="0"/>
              <w:rPr>
                <w:rFonts w:ascii="Arial" w:hAnsi="Arial" w:cs="Arial"/>
                <w:sz w:val="16"/>
                <w:szCs w:val="16"/>
                <w:lang w:eastAsia="sl-SI"/>
              </w:rPr>
            </w:pPr>
            <w:r w:rsidRPr="00B70049">
              <w:rPr>
                <w:rFonts w:ascii="Arial" w:hAnsi="Arial" w:cs="Arial"/>
                <w:sz w:val="16"/>
                <w:szCs w:val="16"/>
                <w:lang w:eastAsia="sl-SI"/>
              </w:rPr>
              <w:t>DRSI: Upravljanje in tekoče vzdrževanje državnih cest</w:t>
            </w:r>
          </w:p>
        </w:tc>
        <w:tc>
          <w:tcPr>
            <w:tcW w:w="993"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85,71</w:t>
            </w:r>
          </w:p>
        </w:tc>
        <w:tc>
          <w:tcPr>
            <w:tcW w:w="992"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84,74</w:t>
            </w:r>
          </w:p>
        </w:tc>
        <w:tc>
          <w:tcPr>
            <w:tcW w:w="85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67,00</w:t>
            </w:r>
          </w:p>
        </w:tc>
        <w:tc>
          <w:tcPr>
            <w:tcW w:w="993"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67,00</w:t>
            </w:r>
          </w:p>
        </w:tc>
        <w:tc>
          <w:tcPr>
            <w:tcW w:w="992"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67,00</w:t>
            </w:r>
          </w:p>
        </w:tc>
        <w:tc>
          <w:tcPr>
            <w:tcW w:w="992"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67,00</w:t>
            </w:r>
          </w:p>
        </w:tc>
        <w:tc>
          <w:tcPr>
            <w:tcW w:w="992"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67,00</w:t>
            </w:r>
          </w:p>
        </w:tc>
        <w:tc>
          <w:tcPr>
            <w:tcW w:w="1276"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505,45</w:t>
            </w:r>
          </w:p>
        </w:tc>
        <w:tc>
          <w:tcPr>
            <w:tcW w:w="1134"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sz w:val="16"/>
                <w:szCs w:val="16"/>
                <w:lang w:eastAsia="sl-SI"/>
              </w:rPr>
            </w:pPr>
            <w:r w:rsidRPr="00B70049">
              <w:rPr>
                <w:rFonts w:ascii="Arial" w:hAnsi="Arial" w:cs="Arial"/>
                <w:sz w:val="16"/>
                <w:szCs w:val="16"/>
                <w:lang w:eastAsia="sl-SI"/>
              </w:rPr>
              <w:t>536,00</w:t>
            </w:r>
          </w:p>
        </w:tc>
      </w:tr>
      <w:tr w:rsidR="00B70049" w:rsidRPr="00B70049" w:rsidTr="007A62C5">
        <w:trPr>
          <w:trHeight w:val="225"/>
        </w:trPr>
        <w:tc>
          <w:tcPr>
            <w:tcW w:w="4551" w:type="dxa"/>
            <w:tcBorders>
              <w:top w:val="nil"/>
              <w:left w:val="single" w:sz="4" w:space="0" w:color="auto"/>
              <w:bottom w:val="single" w:sz="4" w:space="0" w:color="auto"/>
              <w:right w:val="single" w:sz="4" w:space="0" w:color="auto"/>
            </w:tcBorders>
            <w:shd w:val="clear" w:color="auto" w:fill="auto"/>
            <w:vAlign w:val="center"/>
            <w:hideMark/>
          </w:tcPr>
          <w:p w:rsidR="00B70049" w:rsidRPr="00B70049" w:rsidRDefault="00B70049" w:rsidP="00B70049">
            <w:pPr>
              <w:suppressAutoHyphens w:val="0"/>
              <w:rPr>
                <w:rFonts w:ascii="Arial" w:hAnsi="Arial" w:cs="Arial"/>
                <w:b/>
                <w:bCs/>
                <w:sz w:val="16"/>
                <w:szCs w:val="16"/>
                <w:lang w:eastAsia="sl-SI"/>
              </w:rPr>
            </w:pPr>
            <w:r w:rsidRPr="00B70049">
              <w:rPr>
                <w:rFonts w:ascii="Arial" w:hAnsi="Arial" w:cs="Arial"/>
                <w:b/>
                <w:bCs/>
                <w:sz w:val="16"/>
                <w:szCs w:val="16"/>
                <w:lang w:eastAsia="sl-SI"/>
              </w:rPr>
              <w:t>Skupaj redno vzdrževanje državnih cest</w:t>
            </w:r>
          </w:p>
        </w:tc>
        <w:tc>
          <w:tcPr>
            <w:tcW w:w="993"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90,41</w:t>
            </w:r>
          </w:p>
        </w:tc>
        <w:tc>
          <w:tcPr>
            <w:tcW w:w="992"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89,44</w:t>
            </w:r>
          </w:p>
        </w:tc>
        <w:tc>
          <w:tcPr>
            <w:tcW w:w="850"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72,00</w:t>
            </w:r>
          </w:p>
        </w:tc>
        <w:tc>
          <w:tcPr>
            <w:tcW w:w="993"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72,00</w:t>
            </w:r>
          </w:p>
        </w:tc>
        <w:tc>
          <w:tcPr>
            <w:tcW w:w="992"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72,00</w:t>
            </w:r>
          </w:p>
        </w:tc>
        <w:tc>
          <w:tcPr>
            <w:tcW w:w="992"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72,00</w:t>
            </w:r>
          </w:p>
        </w:tc>
        <w:tc>
          <w:tcPr>
            <w:tcW w:w="992"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72,00</w:t>
            </w:r>
          </w:p>
        </w:tc>
        <w:tc>
          <w:tcPr>
            <w:tcW w:w="1276"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539,85</w:t>
            </w:r>
          </w:p>
        </w:tc>
        <w:tc>
          <w:tcPr>
            <w:tcW w:w="1134" w:type="dxa"/>
            <w:tcBorders>
              <w:top w:val="nil"/>
              <w:left w:val="nil"/>
              <w:bottom w:val="single" w:sz="4" w:space="0" w:color="auto"/>
              <w:right w:val="single" w:sz="4" w:space="0" w:color="auto"/>
            </w:tcBorders>
            <w:shd w:val="clear" w:color="auto" w:fill="auto"/>
            <w:vAlign w:val="center"/>
            <w:hideMark/>
          </w:tcPr>
          <w:p w:rsidR="00B70049" w:rsidRPr="00B70049" w:rsidRDefault="00B70049" w:rsidP="00B70049">
            <w:pPr>
              <w:suppressAutoHyphens w:val="0"/>
              <w:jc w:val="center"/>
              <w:rPr>
                <w:rFonts w:ascii="Arial" w:hAnsi="Arial" w:cs="Arial"/>
                <w:b/>
                <w:bCs/>
                <w:sz w:val="16"/>
                <w:szCs w:val="16"/>
                <w:lang w:eastAsia="sl-SI"/>
              </w:rPr>
            </w:pPr>
            <w:r w:rsidRPr="00B70049">
              <w:rPr>
                <w:rFonts w:ascii="Arial" w:hAnsi="Arial" w:cs="Arial"/>
                <w:b/>
                <w:bCs/>
                <w:sz w:val="16"/>
                <w:szCs w:val="16"/>
                <w:lang w:eastAsia="sl-SI"/>
              </w:rPr>
              <w:t>576,00</w:t>
            </w:r>
          </w:p>
        </w:tc>
      </w:tr>
    </w:tbl>
    <w:p w:rsidR="00B70049" w:rsidRDefault="00B70049" w:rsidP="00D91D1F">
      <w:pPr>
        <w:pStyle w:val="Odstavekseznama"/>
        <w:suppressAutoHyphens w:val="0"/>
        <w:ind w:left="0"/>
        <w:jc w:val="both"/>
        <w:rPr>
          <w:rFonts w:ascii="Arial" w:hAnsi="Arial" w:cs="Arial"/>
          <w:szCs w:val="22"/>
        </w:rPr>
      </w:pPr>
    </w:p>
    <w:p w:rsidR="00B70049" w:rsidRDefault="00B70049" w:rsidP="00D91D1F">
      <w:pPr>
        <w:pStyle w:val="Odstavekseznama"/>
        <w:suppressAutoHyphens w:val="0"/>
        <w:ind w:left="0"/>
        <w:jc w:val="both"/>
        <w:rPr>
          <w:rFonts w:ascii="Arial" w:hAnsi="Arial" w:cs="Arial"/>
          <w:szCs w:val="22"/>
        </w:rPr>
      </w:pPr>
    </w:p>
    <w:p w:rsidR="00B70049" w:rsidRPr="00D91D1F" w:rsidRDefault="00B70049" w:rsidP="00D91D1F">
      <w:pPr>
        <w:pStyle w:val="Odstavekseznama"/>
        <w:suppressAutoHyphens w:val="0"/>
        <w:ind w:left="0"/>
        <w:jc w:val="both"/>
        <w:rPr>
          <w:rFonts w:ascii="Arial" w:hAnsi="Arial" w:cs="Arial"/>
          <w:szCs w:val="22"/>
        </w:rPr>
      </w:pPr>
    </w:p>
    <w:p w:rsidR="00D91D1F" w:rsidRPr="00D91D1F" w:rsidRDefault="00D91D1F" w:rsidP="00D91D1F">
      <w:pPr>
        <w:pStyle w:val="Odstavekseznama"/>
        <w:suppressAutoHyphens w:val="0"/>
        <w:ind w:left="0"/>
        <w:jc w:val="both"/>
        <w:rPr>
          <w:rFonts w:ascii="Arial" w:hAnsi="Arial" w:cs="Arial"/>
          <w:szCs w:val="22"/>
        </w:rPr>
      </w:pPr>
    </w:p>
    <w:p w:rsidR="00D91D1F" w:rsidRPr="00D91D1F" w:rsidRDefault="00D91D1F" w:rsidP="00D91D1F">
      <w:pPr>
        <w:pStyle w:val="Odstavekseznama"/>
        <w:suppressAutoHyphens w:val="0"/>
        <w:ind w:left="0"/>
        <w:jc w:val="both"/>
        <w:rPr>
          <w:rFonts w:ascii="Arial" w:hAnsi="Arial" w:cs="Arial"/>
          <w:szCs w:val="22"/>
        </w:rPr>
        <w:sectPr w:rsidR="00D91D1F" w:rsidRPr="00D91D1F" w:rsidSect="00BF1663">
          <w:pgSz w:w="16838" w:h="11906" w:orient="landscape"/>
          <w:pgMar w:top="1417" w:right="1417" w:bottom="1417" w:left="1417" w:header="708" w:footer="708" w:gutter="0"/>
          <w:cols w:space="708"/>
          <w:docGrid w:linePitch="360"/>
        </w:sectPr>
      </w:pPr>
    </w:p>
    <w:p w:rsidR="00D91D1F" w:rsidRPr="00E564A6" w:rsidRDefault="00D91D1F" w:rsidP="00D91D1F">
      <w:pPr>
        <w:jc w:val="both"/>
        <w:rPr>
          <w:rFonts w:ascii="Arial" w:hAnsi="Arial" w:cs="Arial"/>
          <w:sz w:val="20"/>
          <w:szCs w:val="22"/>
        </w:rPr>
      </w:pPr>
      <w:r w:rsidRPr="00E564A6">
        <w:rPr>
          <w:rFonts w:ascii="Arial" w:hAnsi="Arial" w:cs="Arial"/>
          <w:sz w:val="20"/>
          <w:szCs w:val="22"/>
        </w:rPr>
        <w:lastRenderedPageBreak/>
        <w:t>Na področju cest so predvidena vlaganja v obdobju 2016</w:t>
      </w:r>
      <w:r w:rsidRPr="00E564A6">
        <w:rPr>
          <w:rFonts w:ascii="Arial" w:hAnsi="Arial" w:cs="Arial"/>
          <w:sz w:val="20"/>
          <w:szCs w:val="22"/>
          <w:lang w:eastAsia="sl-SI"/>
        </w:rPr>
        <w:t>–</w:t>
      </w:r>
      <w:r w:rsidRPr="00E564A6">
        <w:rPr>
          <w:rFonts w:ascii="Arial" w:hAnsi="Arial" w:cs="Arial"/>
          <w:sz w:val="20"/>
          <w:szCs w:val="22"/>
        </w:rPr>
        <w:t>2022 s strani:</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MzI v višini 85,13 mio EUR, v katerih je zajeto 70,13 mio EUR</w:t>
      </w:r>
      <w:r w:rsidR="00C3731D" w:rsidRPr="004D661A">
        <w:rPr>
          <w:rFonts w:ascii="Arial" w:hAnsi="Arial" w:cs="Arial"/>
          <w:sz w:val="20"/>
          <w:szCs w:val="20"/>
        </w:rPr>
        <w:t xml:space="preserve"> </w:t>
      </w:r>
      <w:r w:rsidRPr="004D661A">
        <w:rPr>
          <w:rFonts w:ascii="Arial" w:hAnsi="Arial" w:cs="Arial"/>
          <w:sz w:val="20"/>
          <w:szCs w:val="20"/>
        </w:rPr>
        <w:t>EU sredstev za investicije DARS-a.</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 xml:space="preserve">Države (DRSI) v višini 1.219,32 mio EUR za investicijsko vzdrževanje in gradnjo cest, 34,40 mio EUR za urejanje in razvoj na področju prometa in prometne infrastrukture in 505,45 mio EUR za upravljanje in tekoče vzdrževanje državnih cest. Viri so predvideni v sklopu aktivnosti Ro.43.3 »Izvedba projektov za realizacijo v 6-letnem obdobju (drsni plan)«. Drsni plan bi zajemal sanacijo voziščne konstrukcije, horizontalnih/vertikalnih elementov in zagotavljal ukrepe za izboljšanje prometne varnosti. Šele ko bodo s strani države zagotovljeni konstantni viri (npr. proračunski sklad, posebni namenski viri), bo investicije v obstoječo infrastrukturo možno načrtovati tudi na daljše časovno obdobje, kar se je v praksi izkazalo kot nujno za zagotavljanje učinkovitosti, na kar v svojih mnenjih opozarja tudi Računsko sodišče RS. V dinamiki </w:t>
      </w:r>
      <w:r w:rsidR="00DE0C44" w:rsidRPr="004D661A">
        <w:rPr>
          <w:rFonts w:ascii="Arial" w:hAnsi="Arial" w:cs="Arial"/>
          <w:sz w:val="20"/>
          <w:szCs w:val="20"/>
        </w:rPr>
        <w:t>so upoštevana tudi</w:t>
      </w:r>
      <w:r w:rsidRPr="004D661A">
        <w:rPr>
          <w:rFonts w:ascii="Arial" w:hAnsi="Arial" w:cs="Arial"/>
          <w:sz w:val="20"/>
          <w:szCs w:val="20"/>
        </w:rPr>
        <w:t xml:space="preserve"> </w:t>
      </w:r>
      <w:r w:rsidR="00DE0C44" w:rsidRPr="004D661A">
        <w:rPr>
          <w:rFonts w:ascii="Arial" w:hAnsi="Arial" w:cs="Arial"/>
          <w:sz w:val="20"/>
          <w:szCs w:val="20"/>
        </w:rPr>
        <w:t>dodatna sredstva zagotovljena v okviru Nacionalnega reformnega programa 2016–2017, ki ga je sprejela Vlada RS 14.4.2014, sklep št. 41000-2/2016/21 (stran 7, drugi odstavek) in Programa stabilnosti 2016, ki ga je sprejela Vlada RS 20. 4. 2016, sklep št. 41003-3/2016/18 (stran 12, drugi odstavek). S temi dokumenti so dodatna sredstva zagotovljena vključno do leta 2018, od tega leta dalje pa bodo dodatna sredstva v ustreznih dokumentih opredeljena kasneje oz. bodo zagotovljena v integralnem proračunu. Vlada RS bo na ta način sledila finančnemu toku, ki je v Nacionalnem programu.</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 xml:space="preserve">DARS-a (brez EU sredstev) v višini 1.828,01 mio EUR za investicije in 593,50 mio EUR  za obnove obstoječega omrežja. Vlaganja DARS d.d. so omejena izključno na vlaganja v cestninske ceste. V primeru, da pride do odločitve, da se določena novogradnja ne cestnini, se obveznost zagotavljanja virov in pristojnost za izvedbo investicije prenese na državo (DRSI).  DARS d.d. bo vire za investicije in vzdrževanje zagotavljal znotraj svojih finančnih zmožnosti. Ta vlaganja ne bremenijo državnega proračuna, razen prostorsko načrtovanje in umeščanje avtocest v prostor ter pridobivanje nepremičnin za potrebe gradnje avtocest, ki se izvaja skladno s 4. členom ZDARS-1. DARS izvaja navedene naloge v imenu in za račun RS. Viri sredstev za izvajanje nalog prostorskega načrtovanja, umeščanja avtocest v prostor in pridobivanja nepremičnin, se zagotovijo v državnem proračunu na namenski postavki, na katero se nakazuje nadomestilo za ustanovitev stavbne pravice, ki ga DARS plačuje v skladu z Zakonom za uravnoteženje javnih financ. Pogoj za vlaganja DARS-a je predhodno sprejetje zakonov o soglasju in poroštvu za zagotavljanje finančnih virov in ustrezen mehanizem prilagajanja višine cestnine, ki bo omogočal odplačilo kreditov najetih v ta namen. </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Zasebnih investitorjev/občin v višini 94,49 mio EUR, ki se nanašajo predvsem na ukrepe oz. aktivnosti Ro.35.2 Izgradnja omrežja za polnilne postaje, Ro.12.3 Nadaljevanje priključka Brdo, Ro.3.1.3 Izvedba dodatnih počivališč/parkirišč (izvedba dodatnih parkirišč in mest za nadzor za tovorna vozila). V operativnem načrtu je opredeljeno tudi vzdrževanje cestne infrastrukture na občinskih ravneh (Ro.43.2.3), niso pa vlaganja finančno ovrednotena, vendar bodo tudi občine morale načrtovati obnovo obstoječe infrastrukture v svojih občinskih proračunih ter prav tako izdelati načrt prioritet, torej skladno z ukrepom Ro.43. Ta vlaganja prav tako ne bremenijo državnega proračuna.</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 xml:space="preserve">Nacionalni program predvideva izvajanje aktivnosti, povezanih z vzdrževanjem cest, posodobitvami in tudi razvojem infrastrukture. Na področju avtocest so prioritete predvsem izgradnja manjkajočega odseka med Draženci in Gruškovjem, priprava in izvedba projekta druge cevi predora Karavanke ter priprava ustrezne rešitve za prometno ureditev slovenske Istre. </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Nacionalni progam zajema tudi pripravo projekta širitve ljubljanskega obroča, pred s</w:t>
      </w:r>
      <w:r w:rsidR="00DE0C44">
        <w:rPr>
          <w:rFonts w:ascii="Arial" w:hAnsi="Arial" w:cs="Arial"/>
          <w:sz w:val="20"/>
          <w:szCs w:val="22"/>
          <w:lang w:eastAsia="sl-SI"/>
        </w:rPr>
        <w:t xml:space="preserve">amo pripravo pa predvideva </w:t>
      </w:r>
      <w:r w:rsidRPr="00E564A6">
        <w:rPr>
          <w:rFonts w:ascii="Arial" w:hAnsi="Arial" w:cs="Arial"/>
          <w:sz w:val="20"/>
          <w:szCs w:val="22"/>
          <w:lang w:eastAsia="sl-SI"/>
        </w:rPr>
        <w:t>uvajanje sistemov ITS in javnega potn</w:t>
      </w:r>
      <w:r w:rsidR="00DE0C44">
        <w:rPr>
          <w:rFonts w:ascii="Arial" w:hAnsi="Arial" w:cs="Arial"/>
          <w:sz w:val="20"/>
          <w:szCs w:val="22"/>
          <w:lang w:eastAsia="sl-SI"/>
        </w:rPr>
        <w:t xml:space="preserve">iškega prometa. Predvideva še </w:t>
      </w:r>
      <w:r w:rsidRPr="00E564A6">
        <w:rPr>
          <w:rFonts w:ascii="Arial" w:hAnsi="Arial" w:cs="Arial"/>
          <w:sz w:val="20"/>
          <w:szCs w:val="22"/>
          <w:lang w:eastAsia="sl-SI"/>
        </w:rPr>
        <w:t>uvedbo novega cestninskega sistema v prostem prometnem toku za tovorna vozila. Zajema pa tudi aktivnosti investicijskega vzdrževanja obstoječega avtocestnega sistema, ki je na planski ravni podprt z ustreznimi modeli gospodarjenja.</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Na t.i. razvojnih oseh Nacionalni program predvideva pripravo projektov, upoštevajoč dinamiko glede na realne prometne potrebe, opredeljene v Strategiji. Dinamika za posamezno aktivnost izhaja neposredno iz ugotovljenih problemov in je utemeljena glede na realne potrebe (prometne probleme, obremenitve) ter zagotavlja doseganje splošnih in specifičnih ciljev v obdobjih 2014–2020 in do 2030.</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 xml:space="preserve">Na področju državnega cestnega omrežja je ravno tako predvideno, da se omogoči ustrezno vzdrževanje obstoječe infrastrukture, da se le-ta rekonstruira s ciljem povečanja varnosti in </w:t>
      </w:r>
      <w:r w:rsidRPr="00E564A6">
        <w:rPr>
          <w:rFonts w:ascii="Arial" w:hAnsi="Arial" w:cs="Arial"/>
          <w:sz w:val="20"/>
          <w:szCs w:val="22"/>
          <w:lang w:eastAsia="sl-SI"/>
        </w:rPr>
        <w:lastRenderedPageBreak/>
        <w:t xml:space="preserve">zagotavljanja boljših pogojev dostopnosti. Predvideno je, da se zagotovijo ustrezni namenski viri, s katerimi bo mogoče zagotoviti investicijsko vzdrževanje in razvoj primarne infrastrukture. </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Pome</w:t>
      </w:r>
      <w:r w:rsidR="00DE0C44">
        <w:rPr>
          <w:rFonts w:ascii="Arial" w:hAnsi="Arial" w:cs="Arial"/>
          <w:sz w:val="20"/>
          <w:szCs w:val="22"/>
          <w:lang w:eastAsia="sl-SI"/>
        </w:rPr>
        <w:t xml:space="preserve">mben segment predstavljajo </w:t>
      </w:r>
      <w:r w:rsidRPr="00E564A6">
        <w:rPr>
          <w:rFonts w:ascii="Arial" w:hAnsi="Arial" w:cs="Arial"/>
          <w:sz w:val="20"/>
          <w:szCs w:val="22"/>
          <w:lang w:eastAsia="sl-SI"/>
        </w:rPr>
        <w:t>dejavnosti nacionalnega centra za vodenje in upravljanje prometa.</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 xml:space="preserve"> </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 xml:space="preserve">Upravljavec državnih cest pripravi prednostni vrstni red investicij in investicijskega vzdrževanja z upoštevanjem spodnje metodologije. </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 xml:space="preserve">Upravljavec je dolžan sprotno in periodično spremljati stanje infrastrukture na različne načine. V večini primerov gre za meritve in analize različnih tehničnih parametrov (npr. podajnost, kolesnice, razpoke, stanja objektov, stopnja prometne varnosti, elementi prometne infrastrukture, obseg in struktura prometa …). Parametre iz meritev in številčne podatke je dolžan obdelati z ustreznimi modeli, npr. modeli propadanja. Rezultati modelov predstavljajo osnovo za določitev obsega investicijskega vzdrževanja in gradnje državnega cestnega omrežja ter neposredno določajo prioritetne sezname različnih, potrebnih projektov na državnem cestnem omrežju. </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 xml:space="preserve">Pri določitvi kriterijev za uvrstitev posameznih projektov v 6-letni načrt investicijskega vzdrževanja in gradnje državnih cest je potrebno upoštevati parametre, ki jih predvideva Nacionalni program, in sicer: </w:t>
      </w:r>
    </w:p>
    <w:p w:rsidR="00D91D1F" w:rsidRPr="00E564A6" w:rsidRDefault="00D91D1F" w:rsidP="00C1387F">
      <w:pPr>
        <w:pStyle w:val="Odstavekseznama"/>
        <w:numPr>
          <w:ilvl w:val="0"/>
          <w:numId w:val="27"/>
        </w:numPr>
        <w:suppressAutoHyphens w:val="0"/>
        <w:jc w:val="both"/>
        <w:rPr>
          <w:rFonts w:ascii="Arial" w:hAnsi="Arial" w:cs="Arial"/>
          <w:sz w:val="20"/>
          <w:szCs w:val="22"/>
          <w:lang w:eastAsia="sl-SI"/>
        </w:rPr>
      </w:pPr>
      <w:r w:rsidRPr="00E564A6">
        <w:rPr>
          <w:rFonts w:ascii="Arial" w:hAnsi="Arial" w:cs="Arial"/>
          <w:sz w:val="20"/>
          <w:szCs w:val="22"/>
          <w:lang w:eastAsia="sl-SI"/>
        </w:rPr>
        <w:t>stanje infrastrukture,</w:t>
      </w:r>
    </w:p>
    <w:p w:rsidR="00D91D1F" w:rsidRPr="00E564A6" w:rsidRDefault="00D91D1F" w:rsidP="00C1387F">
      <w:pPr>
        <w:pStyle w:val="Odstavekseznama"/>
        <w:numPr>
          <w:ilvl w:val="0"/>
          <w:numId w:val="27"/>
        </w:numPr>
        <w:suppressAutoHyphens w:val="0"/>
        <w:jc w:val="both"/>
        <w:rPr>
          <w:rFonts w:ascii="Arial" w:hAnsi="Arial" w:cs="Arial"/>
          <w:sz w:val="20"/>
          <w:szCs w:val="22"/>
          <w:lang w:eastAsia="sl-SI"/>
        </w:rPr>
      </w:pPr>
      <w:r w:rsidRPr="00E564A6">
        <w:rPr>
          <w:rFonts w:ascii="Arial" w:hAnsi="Arial" w:cs="Arial"/>
          <w:sz w:val="20"/>
          <w:szCs w:val="22"/>
          <w:lang w:eastAsia="sl-SI"/>
        </w:rPr>
        <w:t>obseg prometa in njegove značilnosti,</w:t>
      </w:r>
    </w:p>
    <w:p w:rsidR="00D91D1F" w:rsidRPr="00E564A6" w:rsidRDefault="00D91D1F" w:rsidP="00C1387F">
      <w:pPr>
        <w:pStyle w:val="Odstavekseznama"/>
        <w:numPr>
          <w:ilvl w:val="0"/>
          <w:numId w:val="27"/>
        </w:numPr>
        <w:suppressAutoHyphens w:val="0"/>
        <w:jc w:val="both"/>
        <w:rPr>
          <w:rFonts w:ascii="Arial" w:hAnsi="Arial" w:cs="Arial"/>
          <w:sz w:val="20"/>
          <w:szCs w:val="22"/>
          <w:lang w:eastAsia="sl-SI"/>
        </w:rPr>
      </w:pPr>
      <w:r w:rsidRPr="00E564A6">
        <w:rPr>
          <w:rFonts w:ascii="Arial" w:hAnsi="Arial" w:cs="Arial"/>
          <w:sz w:val="20"/>
          <w:szCs w:val="22"/>
          <w:lang w:eastAsia="sl-SI"/>
        </w:rPr>
        <w:t>pomen infrastrukture v prostoru z vidika dostopnosti in povezovanja ob upoštevanju enakomerne geografske porazdelitve v celotni Sloveniji in z upoštevanjem prometno gravitacijskih področji v Strategiji,</w:t>
      </w:r>
    </w:p>
    <w:p w:rsidR="00D91D1F" w:rsidRPr="00E564A6" w:rsidRDefault="00D91D1F" w:rsidP="00C1387F">
      <w:pPr>
        <w:pStyle w:val="Odstavekseznama"/>
        <w:numPr>
          <w:ilvl w:val="0"/>
          <w:numId w:val="27"/>
        </w:numPr>
        <w:suppressAutoHyphens w:val="0"/>
        <w:jc w:val="both"/>
        <w:rPr>
          <w:rFonts w:ascii="Arial" w:hAnsi="Arial" w:cs="Arial"/>
          <w:sz w:val="20"/>
          <w:szCs w:val="22"/>
          <w:lang w:eastAsia="sl-SI"/>
        </w:rPr>
      </w:pPr>
      <w:r w:rsidRPr="00E564A6">
        <w:rPr>
          <w:rFonts w:ascii="Arial" w:hAnsi="Arial" w:cs="Arial"/>
          <w:sz w:val="20"/>
          <w:szCs w:val="22"/>
          <w:lang w:eastAsia="sl-SI"/>
        </w:rPr>
        <w:t>stanje prometne varnosti in</w:t>
      </w:r>
    </w:p>
    <w:p w:rsidR="00D91D1F" w:rsidRPr="00E564A6" w:rsidRDefault="00D91D1F" w:rsidP="00C1387F">
      <w:pPr>
        <w:pStyle w:val="Odstavekseznama"/>
        <w:numPr>
          <w:ilvl w:val="0"/>
          <w:numId w:val="27"/>
        </w:numPr>
        <w:suppressAutoHyphens w:val="0"/>
        <w:jc w:val="both"/>
        <w:rPr>
          <w:rFonts w:ascii="Arial" w:hAnsi="Arial" w:cs="Arial"/>
          <w:sz w:val="20"/>
          <w:szCs w:val="22"/>
          <w:lang w:eastAsia="sl-SI"/>
        </w:rPr>
      </w:pPr>
      <w:r w:rsidRPr="00E564A6">
        <w:rPr>
          <w:rFonts w:ascii="Arial" w:hAnsi="Arial" w:cs="Arial"/>
          <w:sz w:val="20"/>
          <w:szCs w:val="22"/>
          <w:lang w:eastAsia="sl-SI"/>
        </w:rPr>
        <w:t>ekonomska upravičenost projektov.</w:t>
      </w:r>
    </w:p>
    <w:p w:rsidR="00D91D1F" w:rsidRPr="00E564A6" w:rsidRDefault="00D91D1F" w:rsidP="00D91D1F">
      <w:pPr>
        <w:suppressAutoHyphens w:val="0"/>
        <w:spacing w:after="200" w:line="276" w:lineRule="auto"/>
        <w:ind w:left="720"/>
        <w:contextualSpacing/>
        <w:jc w:val="both"/>
        <w:rPr>
          <w:rFonts w:ascii="Arial" w:eastAsia="Calibri" w:hAnsi="Arial" w:cs="Arial"/>
          <w:sz w:val="20"/>
          <w:szCs w:val="22"/>
          <w:lang w:eastAsia="en-US"/>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 xml:space="preserve">Cilj je, da se med projekte za investicijsko vzdrževanje in gradnjo državnih cest uvrščajo projekti, ki bodo postopno izboljšali stanje cestne infrastrukture ter dvignili nivo usluge uporabnikom. </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Poleg ukrepov na voziščih je potrebno v okviru 6-letnega načrta obnovitve državnih cest zagotoviti učinkovite sanacije in rekonstrukcije premostitvenih, podpornih in opornih konstrukcij. Hkrati pa sočasno izvajati ukrepe za povečanje prometne varnosti in zagotavljanje boljše dostopnosti in povezljivosti. Seveda je potrebno z investicijskim vzdrževanjem in gradnjo državnih cest slediti tudi ciljem zmanjševanja negativnih vplivov cestnega prometa na ljudi in okolje.</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Sprejeta strategija razvoja prometa v RS predvideva, da je za projekte investicijskega vzdrževanja in gradnje državnih cest (rekonstrukcije cest, nadgradnje, objekti ….) potrebno pripraviti 6-letni načrt, v katerega se uvrstijo projekti po načelu, da je finančni razrez proračuna deljen na način, da je:</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2/3 projektov v okviru analize stroškov in koristi doseglo prag ekonomske upravičenosti,</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 xml:space="preserve">1/3 sredstev namenjeno za projekte, kjer ni nujno, da projekt doseže prag ekonomske upravičenosti. </w:t>
      </w:r>
    </w:p>
    <w:p w:rsidR="00D91D1F" w:rsidRPr="00E564A6" w:rsidRDefault="00D91D1F" w:rsidP="00D91D1F">
      <w:pPr>
        <w:pStyle w:val="Odstavekseznama"/>
        <w:suppressAutoHyphens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To pomeni, da se glavnina finančnih sredstev usmeri praviloma v bolj prometne ceste, delitev pa omogoča, da se izvajajo tudi ukrepi na manj prometnih cestah. V program je potrebno uvrstiti tudi projekte, ki bodo odpravili ozka grla na omrežju (ožine, nenosilni objekti, omejitve hitrosti izven naselij) ter bodo povečali tudi potovalno hitrost izven naselij. S 6-letnim načrtom je potrebno zagotoviti, da se povečajo potovalne hitrosti izven naselij tako za osebni kot za javni potniški promet, prioritetno s projekti na obstoječi prometni infrastrukturi, če pa to ni mogoče pa tudi z novogradnjami (npr. obvoznice).</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 xml:space="preserve">Šestletni načrt obnove državnega cestnega omrežja mora projekte razdeliti na tri sklope: </w:t>
      </w:r>
    </w:p>
    <w:p w:rsidR="00D91D1F" w:rsidRPr="00E564A6" w:rsidRDefault="00D91D1F" w:rsidP="00C1387F">
      <w:pPr>
        <w:pStyle w:val="Odstavekseznama"/>
        <w:numPr>
          <w:ilvl w:val="0"/>
          <w:numId w:val="17"/>
        </w:numPr>
        <w:suppressAutoHyphens w:val="0"/>
        <w:jc w:val="both"/>
        <w:rPr>
          <w:rFonts w:ascii="Arial" w:hAnsi="Arial" w:cs="Arial"/>
          <w:sz w:val="20"/>
          <w:szCs w:val="22"/>
          <w:lang w:eastAsia="sl-SI"/>
        </w:rPr>
      </w:pPr>
      <w:r w:rsidRPr="00E564A6">
        <w:rPr>
          <w:rFonts w:ascii="Arial" w:hAnsi="Arial" w:cs="Arial"/>
          <w:sz w:val="20"/>
          <w:szCs w:val="22"/>
          <w:lang w:eastAsia="sl-SI"/>
        </w:rPr>
        <w:t xml:space="preserve">ukrepi na voziščih (preplastitve) v primerih, ko je edini problem samo stanje vozišča, </w:t>
      </w:r>
    </w:p>
    <w:p w:rsidR="00D91D1F" w:rsidRPr="00E564A6" w:rsidRDefault="00D91D1F" w:rsidP="00C1387F">
      <w:pPr>
        <w:pStyle w:val="Odstavekseznama"/>
        <w:numPr>
          <w:ilvl w:val="0"/>
          <w:numId w:val="17"/>
        </w:numPr>
        <w:suppressAutoHyphens w:val="0"/>
        <w:jc w:val="both"/>
        <w:rPr>
          <w:rFonts w:ascii="Arial" w:hAnsi="Arial" w:cs="Arial"/>
          <w:sz w:val="20"/>
          <w:szCs w:val="22"/>
          <w:lang w:eastAsia="sl-SI"/>
        </w:rPr>
      </w:pPr>
      <w:r w:rsidRPr="00E564A6">
        <w:rPr>
          <w:rFonts w:ascii="Arial" w:hAnsi="Arial" w:cs="Arial"/>
          <w:sz w:val="20"/>
          <w:szCs w:val="22"/>
          <w:lang w:eastAsia="sl-SI"/>
        </w:rPr>
        <w:t>kombinirani ukrepi (rekonstrukcije, modernizacije, ureditve, sanacije …) v primerih, ko je poleg ukrepov na voziščih potrebno izvesti še sanacije in rekonstrukcije premostitvenih, podpornih in opornih konstrukcij in/ali izboljšati tudi elemente horizontalnega in vertikalnega poteka ter</w:t>
      </w:r>
    </w:p>
    <w:p w:rsidR="00D91D1F" w:rsidRPr="00E564A6" w:rsidRDefault="00D91D1F" w:rsidP="00C1387F">
      <w:pPr>
        <w:pStyle w:val="Odstavekseznama"/>
        <w:numPr>
          <w:ilvl w:val="0"/>
          <w:numId w:val="17"/>
        </w:numPr>
        <w:suppressAutoHyphens w:val="0"/>
        <w:jc w:val="both"/>
        <w:rPr>
          <w:rFonts w:ascii="Arial" w:hAnsi="Arial" w:cs="Arial"/>
          <w:sz w:val="20"/>
          <w:szCs w:val="22"/>
          <w:lang w:eastAsia="sl-SI"/>
        </w:rPr>
      </w:pPr>
      <w:r w:rsidRPr="00E564A6">
        <w:rPr>
          <w:rFonts w:ascii="Arial" w:hAnsi="Arial" w:cs="Arial"/>
          <w:sz w:val="20"/>
          <w:szCs w:val="22"/>
          <w:lang w:eastAsia="sl-SI"/>
        </w:rPr>
        <w:t xml:space="preserve">točkovni ukrepi, kjer je potrebno pretežno sanirati oz. rekonstruirati premostitveni objekt, podporni ali oporni element ali pa zagotoviti prometnovarnostni ukrep. </w:t>
      </w:r>
    </w:p>
    <w:p w:rsidR="00D91D1F" w:rsidRPr="00E564A6" w:rsidRDefault="00D91D1F" w:rsidP="00D91D1F">
      <w:pPr>
        <w:pStyle w:val="Odstavekseznama"/>
        <w:suppressAutoHyphens w:val="0"/>
        <w:ind w:left="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lastRenderedPageBreak/>
        <w:t xml:space="preserve">Z uporabo multidisciplinarnega pristopa in ekonomskega modela vrednotenja je potrebno opraviti ustrezen razrez sredstev med različnimi nameni. Model vrednotenja in izbire posameznih ukrepov je shematsko prikazan na sliki spodaj. </w:t>
      </w:r>
    </w:p>
    <w:p w:rsidR="00D91D1F" w:rsidRPr="00D91D1F" w:rsidRDefault="00D91D1F" w:rsidP="00D91D1F">
      <w:pPr>
        <w:suppressAutoHyphens w:val="0"/>
        <w:autoSpaceDE w:val="0"/>
        <w:autoSpaceDN w:val="0"/>
        <w:adjustRightInd w:val="0"/>
        <w:jc w:val="both"/>
        <w:rPr>
          <w:rFonts w:ascii="Arial" w:hAnsi="Arial" w:cs="Arial"/>
          <w:szCs w:val="22"/>
          <w:lang w:eastAsia="sl-SI"/>
        </w:rPr>
      </w:pPr>
    </w:p>
    <w:p w:rsidR="00D91D1F" w:rsidRPr="00D91D1F" w:rsidRDefault="00D91D1F" w:rsidP="00D91D1F">
      <w:pPr>
        <w:suppressAutoHyphens w:val="0"/>
        <w:spacing w:after="200" w:line="276" w:lineRule="auto"/>
        <w:jc w:val="center"/>
        <w:rPr>
          <w:rFonts w:ascii="Arial" w:eastAsia="Calibri" w:hAnsi="Arial" w:cs="Arial"/>
          <w:szCs w:val="22"/>
          <w:lang w:eastAsia="en-US"/>
        </w:rPr>
      </w:pPr>
      <w:r w:rsidRPr="00D91D1F">
        <w:rPr>
          <w:rFonts w:ascii="Arial" w:eastAsia="Calibri" w:hAnsi="Arial" w:cs="Arial"/>
          <w:noProof/>
          <w:szCs w:val="22"/>
          <w:lang w:eastAsia="sl-SI"/>
        </w:rPr>
        <w:drawing>
          <wp:inline distT="0" distB="0" distL="0" distR="0" wp14:anchorId="7EAA6E23" wp14:editId="6B502AB9">
            <wp:extent cx="5086350" cy="3568700"/>
            <wp:effectExtent l="0" t="0" r="0" b="0"/>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pic:cNvPicPr>
                      <a:picLocks noChangeAspect="1" noChangeArrowheads="1"/>
                    </pic:cNvPicPr>
                  </pic:nvPicPr>
                  <pic:blipFill>
                    <a:blip r:embed="rId23">
                      <a:extLst>
                        <a:ext uri="{28A0092B-C50C-407E-A947-70E740481C1C}">
                          <a14:useLocalDpi xmlns:a14="http://schemas.microsoft.com/office/drawing/2010/main" val="0"/>
                        </a:ext>
                      </a:extLst>
                    </a:blip>
                    <a:srcRect l="21071" t="16980" r="40746" b="35472"/>
                    <a:stretch>
                      <a:fillRect/>
                    </a:stretch>
                  </pic:blipFill>
                  <pic:spPr bwMode="auto">
                    <a:xfrm>
                      <a:off x="0" y="0"/>
                      <a:ext cx="5086350" cy="3568700"/>
                    </a:xfrm>
                    <a:prstGeom prst="rect">
                      <a:avLst/>
                    </a:prstGeom>
                    <a:noFill/>
                    <a:ln>
                      <a:noFill/>
                    </a:ln>
                  </pic:spPr>
                </pic:pic>
              </a:graphicData>
            </a:graphic>
          </wp:inline>
        </w:drawing>
      </w:r>
    </w:p>
    <w:p w:rsidR="00D91D1F" w:rsidRPr="00D91D1F" w:rsidRDefault="00D91D1F" w:rsidP="00D91D1F">
      <w:pPr>
        <w:suppressAutoHyphens w:val="0"/>
        <w:spacing w:after="200" w:line="276" w:lineRule="auto"/>
        <w:jc w:val="center"/>
        <w:rPr>
          <w:rFonts w:ascii="Arial" w:eastAsia="Calibri" w:hAnsi="Arial" w:cs="Arial"/>
          <w:sz w:val="18"/>
          <w:szCs w:val="22"/>
          <w:lang w:eastAsia="en-US"/>
        </w:rPr>
      </w:pPr>
      <w:r w:rsidRPr="00D91D1F">
        <w:rPr>
          <w:rFonts w:ascii="Arial" w:eastAsia="Calibri" w:hAnsi="Arial" w:cs="Arial"/>
          <w:sz w:val="18"/>
          <w:szCs w:val="22"/>
          <w:lang w:eastAsia="en-US"/>
        </w:rPr>
        <w:t>Slika 1: Shematski prikaz modela izbire vrste ukrepa glede na upravičenost in obseg prometa (Vir: DRI)</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 xml:space="preserve">Na sliki sta prikazani dve funkciji. Funkcija Pr prikazuje ukrep na vozišču (preplastitev), funkcija R pa ukrep rekonstrukcije (kombiniran ukrep) v odvisnosti od obsega prometa, tehničnih elementov in vrednosti posameznega ukrepa za posamezno kategorijo ceste (glavne, regionalne). Gre za splošen prikaz metodologije, ki omogoča odločitev (izbiro) vrste ukrepa za posamezno kategorijo ceste. Modra črta prikazuje ukrep preplastitev, ki ima v območju nizkega prometa tudi nižje koristi, z večanjem obsega prometa pa koristi naraščajo. Če na istem odseku izvedemo rekonstrukcijo (oranžna črta), zaradi večje investicije pri nizkem prometu ukrep ni ekonomsko upravičen, kar na grafu ponazarja rdeče območje in predstavlja z ekonomskega vidika neupravičen ukrep. Do točke, kjer se funkciji sekata, je ekonomsko bolj upravičena preplastitev (modro območje), desno od skupne točke pa je zaradi večjega obsega prometa ekonomsko bolj upravičen ukrep rekonstrukcija, kar prikazuje oranžno območje. </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 xml:space="preserve">Večletni program obnove državnih cest upravljavec izdela vsako leto za obdobje šestih let. </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Za posamezno leto v okviru 6-letnega načrta določi vsaj naslednje indikatorje:</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 xml:space="preserve">ukrepi na voziščih:  skupaj bo v delu </w:t>
      </w:r>
      <w:r w:rsidRPr="004D661A">
        <w:rPr>
          <w:rFonts w:ascii="Arial" w:hAnsi="Arial" w:cs="Arial"/>
          <w:sz w:val="20"/>
          <w:szCs w:val="20"/>
        </w:rPr>
        <w:softHyphen/>
      </w:r>
      <w:r w:rsidRPr="004D661A">
        <w:rPr>
          <w:rFonts w:ascii="Arial" w:hAnsi="Arial" w:cs="Arial"/>
          <w:sz w:val="20"/>
          <w:szCs w:val="20"/>
        </w:rPr>
        <w:softHyphen/>
        <w:t xml:space="preserve">__ km, zaključeno pa bo </w:t>
      </w:r>
      <w:r w:rsidRPr="004D661A">
        <w:rPr>
          <w:rFonts w:ascii="Arial" w:hAnsi="Arial" w:cs="Arial"/>
          <w:sz w:val="20"/>
          <w:szCs w:val="20"/>
        </w:rPr>
        <w:softHyphen/>
      </w:r>
      <w:r w:rsidRPr="004D661A">
        <w:rPr>
          <w:rFonts w:ascii="Arial" w:hAnsi="Arial" w:cs="Arial"/>
          <w:sz w:val="20"/>
          <w:szCs w:val="20"/>
        </w:rPr>
        <w:softHyphen/>
        <w:t>__ km vozišč;</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 xml:space="preserve">kombinirani ukrepi: skupaj bo v delu </w:t>
      </w:r>
      <w:r w:rsidRPr="004D661A">
        <w:rPr>
          <w:rFonts w:ascii="Arial" w:hAnsi="Arial" w:cs="Arial"/>
          <w:sz w:val="20"/>
          <w:szCs w:val="20"/>
        </w:rPr>
        <w:softHyphen/>
      </w:r>
      <w:r w:rsidRPr="004D661A">
        <w:rPr>
          <w:rFonts w:ascii="Arial" w:hAnsi="Arial" w:cs="Arial"/>
          <w:sz w:val="20"/>
          <w:szCs w:val="20"/>
        </w:rPr>
        <w:softHyphen/>
        <w:t xml:space="preserve">__ km, zaključeno pa bo </w:t>
      </w:r>
      <w:r w:rsidRPr="004D661A">
        <w:rPr>
          <w:rFonts w:ascii="Arial" w:hAnsi="Arial" w:cs="Arial"/>
          <w:sz w:val="20"/>
          <w:szCs w:val="20"/>
        </w:rPr>
        <w:softHyphen/>
      </w:r>
      <w:r w:rsidRPr="004D661A">
        <w:rPr>
          <w:rFonts w:ascii="Arial" w:hAnsi="Arial" w:cs="Arial"/>
          <w:sz w:val="20"/>
          <w:szCs w:val="20"/>
        </w:rPr>
        <w:softHyphen/>
        <w:t>__ km projektov;</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 xml:space="preserve">točkovni ukrepi: </w:t>
      </w:r>
      <w:r w:rsidRPr="004D661A">
        <w:rPr>
          <w:rFonts w:ascii="Arial" w:hAnsi="Arial" w:cs="Arial"/>
          <w:sz w:val="20"/>
          <w:szCs w:val="20"/>
        </w:rPr>
        <w:tab/>
        <w:t xml:space="preserve">   skupaj bo v delu </w:t>
      </w:r>
      <w:r w:rsidRPr="004D661A">
        <w:rPr>
          <w:rFonts w:ascii="Arial" w:hAnsi="Arial" w:cs="Arial"/>
          <w:sz w:val="20"/>
          <w:szCs w:val="20"/>
        </w:rPr>
        <w:softHyphen/>
      </w:r>
      <w:r w:rsidRPr="004D661A">
        <w:rPr>
          <w:rFonts w:ascii="Arial" w:hAnsi="Arial" w:cs="Arial"/>
          <w:sz w:val="20"/>
          <w:szCs w:val="20"/>
        </w:rPr>
        <w:softHyphen/>
        <w:t xml:space="preserve">__ objektov, zaključeno pa bo </w:t>
      </w:r>
      <w:r w:rsidRPr="004D661A">
        <w:rPr>
          <w:rFonts w:ascii="Arial" w:hAnsi="Arial" w:cs="Arial"/>
          <w:sz w:val="20"/>
          <w:szCs w:val="20"/>
        </w:rPr>
        <w:softHyphen/>
      </w:r>
      <w:r w:rsidRPr="004D661A">
        <w:rPr>
          <w:rFonts w:ascii="Arial" w:hAnsi="Arial" w:cs="Arial"/>
          <w:sz w:val="20"/>
          <w:szCs w:val="20"/>
        </w:rPr>
        <w:softHyphen/>
        <w:t xml:space="preserve">__ objektov. </w:t>
      </w:r>
    </w:p>
    <w:p w:rsidR="00D91D1F" w:rsidRPr="00E564A6" w:rsidRDefault="00D91D1F" w:rsidP="00D91D1F">
      <w:pPr>
        <w:suppressAutoHyphens w:val="0"/>
        <w:jc w:val="both"/>
        <w:rPr>
          <w:rFonts w:ascii="Arial" w:eastAsia="Calibri" w:hAnsi="Arial" w:cs="Arial"/>
          <w:sz w:val="20"/>
          <w:szCs w:val="22"/>
          <w:lang w:eastAsia="en-US"/>
        </w:rPr>
      </w:pPr>
    </w:p>
    <w:p w:rsidR="00D91D1F" w:rsidRPr="00E564A6" w:rsidRDefault="00D91D1F" w:rsidP="00D91D1F">
      <w:pPr>
        <w:suppressAutoHyphens w:val="0"/>
        <w:jc w:val="both"/>
        <w:rPr>
          <w:rFonts w:ascii="Arial" w:eastAsia="Calibri" w:hAnsi="Arial" w:cs="Arial"/>
          <w:sz w:val="20"/>
          <w:szCs w:val="22"/>
          <w:lang w:eastAsia="en-US"/>
        </w:rPr>
      </w:pPr>
      <w:r w:rsidRPr="00E564A6">
        <w:rPr>
          <w:rFonts w:ascii="Arial" w:eastAsia="Calibri" w:hAnsi="Arial" w:cs="Arial"/>
          <w:sz w:val="20"/>
          <w:szCs w:val="22"/>
          <w:lang w:eastAsia="en-US"/>
        </w:rPr>
        <w:t xml:space="preserve">Pri uvrščanju projektov v 6-letni načrt mora upravljavec upoštevati naslednje: </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osnovo predstavlja model PMS</w:t>
      </w:r>
      <w:r w:rsidRPr="004D661A">
        <w:rPr>
          <w:szCs w:val="20"/>
        </w:rPr>
        <w:footnoteReference w:id="4"/>
      </w:r>
      <w:r w:rsidRPr="004D661A">
        <w:rPr>
          <w:rFonts w:ascii="Arial" w:hAnsi="Arial" w:cs="Arial"/>
          <w:sz w:val="20"/>
          <w:szCs w:val="20"/>
        </w:rPr>
        <w:t xml:space="preserve"> izdelan za celotno državno cestno omrežje. Model zajema podatke o infrastrukturi (ceste), prometu po strukturi vozil z napovedjo ter rezultate različnih meritev. Upoštevajo se stanje prometa in napovedi, narejene na strateškem nivoju z uporabo strateškega prometnega modela za celotno Slovenijo.</w:t>
      </w:r>
      <w:r w:rsidRPr="004D661A">
        <w:rPr>
          <w:rFonts w:ascii="Arial" w:hAnsi="Arial" w:cs="Arial"/>
          <w:sz w:val="20"/>
          <w:szCs w:val="20"/>
        </w:rPr>
        <w:br/>
        <w:t xml:space="preserve">Upravljavec je dolžan potrebne podatke iz različnih modelov urediti tako, da so neposredno uporabni za ekonomski model. V ekonomskem modelu je dolžan za vsako leto glede na </w:t>
      </w:r>
      <w:r w:rsidRPr="004D661A">
        <w:rPr>
          <w:rFonts w:ascii="Arial" w:hAnsi="Arial" w:cs="Arial"/>
          <w:sz w:val="20"/>
          <w:szCs w:val="20"/>
        </w:rPr>
        <w:lastRenderedPageBreak/>
        <w:t>predlagane ukrepe iz modela PMS DRSI in ostale ukrepe (npr. na objektih, obvoznice, križišča, odprava črnih točk, itd.) izdelati izračun stroškov uporabnikov in ekonomske upravičenosti vseh ukrepov skupaj. Posamezne ukrepe mora združevati v logične projekte na daljšem potezu (npr. kombinirani ukrepi);</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cilj je, da se za vsako leto določi optimalen nabor ukrepov (projektov) glede na razpoložljiva sredstev na osnovi skupne ekonomske upravičenosti za vse ukrepe na državnem cestnem omrežju (vozišča, objekti, prometna varnost, obvoznice, obcestni prostor, itd);</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 xml:space="preserve">posebno prioriteto dobijo tisti ukrepi, ki so nujni, da se ohrani prevoznost ceste (ne glede na ekonomsko upravičenost). </w:t>
      </w:r>
    </w:p>
    <w:p w:rsidR="00D91D1F" w:rsidRPr="00E564A6" w:rsidRDefault="00D91D1F" w:rsidP="00D91D1F">
      <w:pPr>
        <w:suppressAutoHyphens w:val="0"/>
        <w:spacing w:after="200" w:line="276" w:lineRule="auto"/>
        <w:ind w:left="720"/>
        <w:contextualSpacing/>
        <w:jc w:val="both"/>
        <w:rPr>
          <w:rFonts w:ascii="Arial" w:eastAsia="Calibri" w:hAnsi="Arial" w:cs="Arial"/>
          <w:sz w:val="16"/>
          <w:szCs w:val="20"/>
          <w:lang w:eastAsia="en-US"/>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V okviru priprave Nacionalnega programa je bil izdelan tudi generaliziran izračun upravičenosti ukrepov glede na različen obseg prometa ter glede na različno vrsto projekta.</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jc w:val="both"/>
        <w:rPr>
          <w:rFonts w:ascii="Arial" w:eastAsia="Calibri" w:hAnsi="Arial" w:cs="Arial"/>
          <w:sz w:val="20"/>
          <w:szCs w:val="22"/>
          <w:lang w:eastAsia="en-US"/>
        </w:rPr>
      </w:pPr>
      <w:r w:rsidRPr="00E564A6">
        <w:rPr>
          <w:rFonts w:ascii="Arial" w:eastAsia="Calibri" w:hAnsi="Arial" w:cs="Arial"/>
          <w:sz w:val="20"/>
          <w:szCs w:val="22"/>
          <w:lang w:eastAsia="en-US"/>
        </w:rPr>
        <w:t>Upoštevana so naslednja izhodišča za ukrepe na državnih cestah:</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investicijsko vzdrževanje s preplastitvijo vozišča, cena 22 EUR/m² brez DDV, tj. cca 100.000 do 150.000 EUR/km,</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investicijsko vzdrževanje z ojačitvijo vozišča, cena 66 EUR/m² brez DDV, tj. cca 300.000 do 400.000 EUR/km,</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investicijsko vzdrževanje z rekonstrukcijo ceste, cena 100 EUR/m² brez DDV, tj. cca 600.000 do 700.000 EUR/km,</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 xml:space="preserve">investicijsko vzdrževanje z rekonstrukcijo ceste + razširitev vozišča iz npr. 6 na 6,6 m vključno z ukrepi na objektih in ureditvami v naseljih, cena 200 EUR/m² brez DDV, tj. cca 700.000 do 2.000.000 EUR/km. </w:t>
      </w:r>
    </w:p>
    <w:p w:rsidR="00D91D1F" w:rsidRPr="00E564A6" w:rsidRDefault="00D91D1F" w:rsidP="00D91D1F">
      <w:pPr>
        <w:suppressAutoHyphens w:val="0"/>
        <w:jc w:val="both"/>
        <w:rPr>
          <w:rFonts w:ascii="Arial" w:eastAsia="Calibri" w:hAnsi="Arial" w:cs="Arial"/>
          <w:sz w:val="20"/>
          <w:szCs w:val="22"/>
          <w:lang w:eastAsia="en-US"/>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 xml:space="preserve">Upoštevan je različen promet v enoti PLDP: 100, 1.000, 5.000, 10.000, 15.000, 20.000 vozil/dan. </w:t>
      </w:r>
    </w:p>
    <w:p w:rsidR="00D91D1F" w:rsidRPr="00D91D1F" w:rsidRDefault="00D91D1F" w:rsidP="00D91D1F">
      <w:pPr>
        <w:suppressAutoHyphens w:val="0"/>
        <w:autoSpaceDE w:val="0"/>
        <w:autoSpaceDN w:val="0"/>
        <w:adjustRightInd w:val="0"/>
        <w:jc w:val="both"/>
        <w:rPr>
          <w:rFonts w:ascii="Arial" w:hAnsi="Arial" w:cs="Arial"/>
          <w:szCs w:val="22"/>
          <w:lang w:eastAsia="sl-SI"/>
        </w:rPr>
      </w:pPr>
      <w:r w:rsidRPr="00D91D1F">
        <w:rPr>
          <w:rFonts w:ascii="Arial" w:hAnsi="Arial" w:cs="Arial"/>
          <w:noProof/>
          <w:szCs w:val="22"/>
          <w:lang w:eastAsia="sl-SI"/>
        </w:rPr>
        <w:drawing>
          <wp:inline distT="0" distB="0" distL="0" distR="0" wp14:anchorId="7D83FEB4" wp14:editId="4BCF3733">
            <wp:extent cx="5593376" cy="4039263"/>
            <wp:effectExtent l="0" t="0" r="7620" b="0"/>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598555" cy="4043003"/>
                    </a:xfrm>
                    <a:prstGeom prst="rect">
                      <a:avLst/>
                    </a:prstGeom>
                    <a:noFill/>
                    <a:ln>
                      <a:noFill/>
                    </a:ln>
                  </pic:spPr>
                </pic:pic>
              </a:graphicData>
            </a:graphic>
          </wp:inline>
        </w:drawing>
      </w:r>
    </w:p>
    <w:p w:rsidR="00D91D1F" w:rsidRPr="00D91D1F" w:rsidRDefault="00D91D1F" w:rsidP="00D91D1F">
      <w:pPr>
        <w:suppressAutoHyphens w:val="0"/>
        <w:autoSpaceDE w:val="0"/>
        <w:autoSpaceDN w:val="0"/>
        <w:adjustRightInd w:val="0"/>
        <w:jc w:val="both"/>
        <w:rPr>
          <w:rFonts w:ascii="Arial" w:hAnsi="Arial" w:cs="Arial"/>
          <w:szCs w:val="22"/>
          <w:lang w:eastAsia="sl-SI"/>
        </w:rPr>
      </w:pPr>
    </w:p>
    <w:p w:rsidR="00D91D1F" w:rsidRPr="00D91D1F" w:rsidRDefault="00D91D1F" w:rsidP="00D91D1F">
      <w:pPr>
        <w:suppressAutoHyphens w:val="0"/>
        <w:spacing w:after="200" w:line="276" w:lineRule="auto"/>
        <w:rPr>
          <w:rFonts w:ascii="Arial" w:eastAsia="Calibri" w:hAnsi="Arial" w:cs="Arial"/>
          <w:sz w:val="18"/>
          <w:szCs w:val="22"/>
          <w:lang w:eastAsia="en-US"/>
        </w:rPr>
      </w:pPr>
      <w:r w:rsidRPr="00D91D1F">
        <w:rPr>
          <w:rFonts w:ascii="Arial" w:eastAsia="Calibri" w:hAnsi="Arial" w:cs="Arial"/>
          <w:sz w:val="18"/>
          <w:szCs w:val="22"/>
          <w:lang w:eastAsia="en-US"/>
        </w:rPr>
        <w:t>Slika 2: Shematski prikaz upravičenosti ukrepov glede na različen obseg prometa ter glede na različno vrsto projekta (Vir: DRI, osnova Opcost, nivo cen november 2014)</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 xml:space="preserve">Posamezna krivulja kaže upravičenost ukrepa glede na obseg prometa. Iz prikaza rezultatov vrednotenja na zgornji sliki izhaja priporočena vrednost projekta, ki naj bo osnova upravljavcu in </w:t>
      </w:r>
      <w:r w:rsidRPr="00E564A6">
        <w:rPr>
          <w:rFonts w:ascii="Arial" w:hAnsi="Arial" w:cs="Arial"/>
          <w:sz w:val="20"/>
          <w:szCs w:val="22"/>
          <w:lang w:eastAsia="sl-SI"/>
        </w:rPr>
        <w:lastRenderedPageBreak/>
        <w:t xml:space="preserve">projektantu pri pripravi projektne rešitve, s ciljem, da se čim bolj približa ekonomski upravičenosti projekta. </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Pri pripravi načrtov je potrebno slediti finančnemu načrtu, navedenem v tabeli 5-3. V primeru, da bi bila sredstva nižja od navedenih v tabeli 5-3 rehabilitacije državnega cestnega omrežja ne bo možno izvesti, vsaj ne v dinamiki, ki je predvidena s tem Nacionalnim programom. Prav tako je treba slediti finančnemu načrtu za redno vzdrževanje, navedenem v tabeli 5-4.</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Tako pripravljen program je osnova za 6-letni operativni načrt, ki ga pripravi ministrstvo, pristojno za promet in predloži v sprejem Vladi RS.</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Upravljavec državnih cest pripravi tudi načrt rednega letnega vzdrževanja.</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DARS pripravi načrt vlaganj z letnim načrtom izvajanja koncesije.</w:t>
      </w:r>
    </w:p>
    <w:p w:rsidR="00D91D1F" w:rsidRPr="00D91D1F" w:rsidRDefault="00D91D1F" w:rsidP="001B0A14">
      <w:pPr>
        <w:pStyle w:val="Naslov2"/>
        <w:numPr>
          <w:ilvl w:val="1"/>
          <w:numId w:val="20"/>
        </w:numPr>
        <w:sectPr w:rsidR="00D91D1F" w:rsidRPr="00D91D1F" w:rsidSect="00BF1663">
          <w:pgSz w:w="11906" w:h="16838"/>
          <w:pgMar w:top="1417" w:right="1417" w:bottom="1417" w:left="1417" w:header="708" w:footer="708" w:gutter="0"/>
          <w:cols w:space="708"/>
          <w:docGrid w:linePitch="360"/>
        </w:sectPr>
      </w:pPr>
      <w:bookmarkStart w:id="44" w:name="_Toc438542244"/>
      <w:bookmarkStart w:id="45" w:name="_Toc427586076"/>
      <w:bookmarkStart w:id="46" w:name="_Toc427586232"/>
      <w:bookmarkStart w:id="47" w:name="_Toc427586286"/>
      <w:bookmarkStart w:id="48" w:name="_Toc427586077"/>
      <w:bookmarkStart w:id="49" w:name="_Toc427586233"/>
      <w:bookmarkStart w:id="50" w:name="_Toc427586287"/>
      <w:bookmarkStart w:id="51" w:name="_Toc427586078"/>
      <w:bookmarkStart w:id="52" w:name="_Toc427586234"/>
      <w:bookmarkStart w:id="53" w:name="_Toc427586288"/>
      <w:bookmarkStart w:id="54" w:name="_Toc427586079"/>
      <w:bookmarkStart w:id="55" w:name="_Toc427586235"/>
      <w:bookmarkStart w:id="56" w:name="_Toc427586289"/>
      <w:bookmarkStart w:id="57" w:name="_Toc427586080"/>
      <w:bookmarkStart w:id="58" w:name="_Toc427586236"/>
      <w:bookmarkStart w:id="59" w:name="_Toc427586290"/>
      <w:bookmarkStart w:id="60" w:name="_Toc443029068"/>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p>
    <w:p w:rsidR="00D91D1F" w:rsidRPr="00E564A6" w:rsidRDefault="00936357" w:rsidP="00E706C0">
      <w:pPr>
        <w:pStyle w:val="Naslov2"/>
        <w:ind w:left="567" w:hanging="567"/>
      </w:pPr>
      <w:bookmarkStart w:id="61" w:name="_Toc456688582"/>
      <w:r>
        <w:lastRenderedPageBreak/>
        <w:t>5.2</w:t>
      </w:r>
      <w:r w:rsidR="00E706C0">
        <w:tab/>
      </w:r>
      <w:r w:rsidR="00D91D1F" w:rsidRPr="00936357">
        <w:t>Železnice</w:t>
      </w:r>
      <w:bookmarkEnd w:id="60"/>
      <w:bookmarkEnd w:id="61"/>
    </w:p>
    <w:p w:rsidR="00D91D1F" w:rsidRPr="00E564A6" w:rsidRDefault="00D91D1F" w:rsidP="00D91D1F">
      <w:pPr>
        <w:rPr>
          <w:rFonts w:ascii="Arial" w:hAnsi="Arial" w:cs="Arial"/>
          <w:b/>
          <w:sz w:val="20"/>
          <w:szCs w:val="20"/>
        </w:rPr>
      </w:pPr>
    </w:p>
    <w:p w:rsidR="00D91D1F" w:rsidRPr="00E564A6" w:rsidRDefault="00D91D1F" w:rsidP="00D91D1F">
      <w:pPr>
        <w:pStyle w:val="Odstavekseznama"/>
        <w:suppressAutoHyphens w:val="0"/>
        <w:ind w:left="0"/>
        <w:jc w:val="both"/>
        <w:rPr>
          <w:rFonts w:ascii="Arial" w:hAnsi="Arial" w:cs="Arial"/>
          <w:sz w:val="20"/>
          <w:szCs w:val="20"/>
        </w:rPr>
      </w:pPr>
      <w:r w:rsidRPr="00E564A6">
        <w:rPr>
          <w:rFonts w:ascii="Arial" w:hAnsi="Arial" w:cs="Arial"/>
          <w:sz w:val="20"/>
          <w:szCs w:val="20"/>
        </w:rPr>
        <w:t>Tabela 5</w:t>
      </w:r>
      <w:r w:rsidRPr="00E564A6">
        <w:rPr>
          <w:rFonts w:ascii="Arial" w:hAnsi="Arial" w:cs="Arial"/>
          <w:sz w:val="20"/>
          <w:szCs w:val="20"/>
        </w:rPr>
        <w:noBreakHyphen/>
        <w:t>5</w:t>
      </w:r>
      <w:r w:rsidRPr="00E564A6">
        <w:rPr>
          <w:rFonts w:ascii="Arial" w:hAnsi="Arial" w:cs="Arial"/>
          <w:sz w:val="20"/>
          <w:szCs w:val="20"/>
          <w:lang w:eastAsia="sl-SI"/>
        </w:rPr>
        <w:t>:</w:t>
      </w:r>
      <w:r w:rsidRPr="00E564A6">
        <w:rPr>
          <w:rFonts w:ascii="Arial" w:hAnsi="Arial" w:cs="Arial"/>
          <w:sz w:val="20"/>
          <w:szCs w:val="20"/>
        </w:rPr>
        <w:t xml:space="preserve"> Predvidena dinamika vlaganj v investicijsko vzdrževanje in investicije, železnice (v mio EUR)</w:t>
      </w:r>
    </w:p>
    <w:tbl>
      <w:tblPr>
        <w:tblW w:w="13840" w:type="dxa"/>
        <w:tblInd w:w="55" w:type="dxa"/>
        <w:tblCellMar>
          <w:left w:w="70" w:type="dxa"/>
          <w:right w:w="70" w:type="dxa"/>
        </w:tblCellMar>
        <w:tblLook w:val="04A0" w:firstRow="1" w:lastRow="0" w:firstColumn="1" w:lastColumn="0" w:noHBand="0" w:noVBand="1"/>
      </w:tblPr>
      <w:tblGrid>
        <w:gridCol w:w="460"/>
        <w:gridCol w:w="4120"/>
        <w:gridCol w:w="960"/>
        <w:gridCol w:w="960"/>
        <w:gridCol w:w="960"/>
        <w:gridCol w:w="960"/>
        <w:gridCol w:w="960"/>
        <w:gridCol w:w="960"/>
        <w:gridCol w:w="1020"/>
        <w:gridCol w:w="1240"/>
        <w:gridCol w:w="1240"/>
      </w:tblGrid>
      <w:tr w:rsidR="00D91D1F" w:rsidRPr="00D91D1F" w:rsidTr="00BF1663">
        <w:trPr>
          <w:trHeight w:val="420"/>
        </w:trPr>
        <w:tc>
          <w:tcPr>
            <w:tcW w:w="4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 </w:t>
            </w:r>
          </w:p>
        </w:tc>
        <w:tc>
          <w:tcPr>
            <w:tcW w:w="412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rPr>
                <w:rFonts w:ascii="Arial" w:hAnsi="Arial" w:cs="Arial"/>
                <w:b/>
                <w:bCs/>
                <w:sz w:val="16"/>
                <w:szCs w:val="16"/>
                <w:lang w:eastAsia="sl-SI"/>
              </w:rPr>
            </w:pPr>
            <w:r w:rsidRPr="00D91D1F">
              <w:rPr>
                <w:rFonts w:ascii="Arial" w:hAnsi="Arial" w:cs="Arial"/>
                <w:b/>
                <w:bCs/>
                <w:sz w:val="16"/>
                <w:szCs w:val="16"/>
                <w:lang w:eastAsia="sl-SI"/>
              </w:rPr>
              <w:t>Železniški promet</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2016</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2017</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2018</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2019</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2020</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2021</w:t>
            </w:r>
          </w:p>
        </w:tc>
        <w:tc>
          <w:tcPr>
            <w:tcW w:w="102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2022</w:t>
            </w:r>
          </w:p>
        </w:tc>
        <w:tc>
          <w:tcPr>
            <w:tcW w:w="124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Skupaj 2016-2022</w:t>
            </w:r>
          </w:p>
        </w:tc>
        <w:tc>
          <w:tcPr>
            <w:tcW w:w="124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Skupaj 2023-2030</w:t>
            </w:r>
          </w:p>
        </w:tc>
      </w:tr>
      <w:tr w:rsidR="00D91D1F" w:rsidRPr="00D91D1F" w:rsidTr="00BF1663">
        <w:trPr>
          <w:trHeight w:val="420"/>
        </w:trPr>
        <w:tc>
          <w:tcPr>
            <w:tcW w:w="460" w:type="dxa"/>
            <w:tcBorders>
              <w:top w:val="nil"/>
              <w:left w:val="single" w:sz="4" w:space="0" w:color="auto"/>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w:t>
            </w:r>
          </w:p>
        </w:tc>
        <w:tc>
          <w:tcPr>
            <w:tcW w:w="412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rPr>
                <w:rFonts w:ascii="Arial" w:hAnsi="Arial" w:cs="Arial"/>
                <w:sz w:val="16"/>
                <w:szCs w:val="16"/>
                <w:lang w:eastAsia="sl-SI"/>
              </w:rPr>
            </w:pPr>
            <w:r w:rsidRPr="00D91D1F">
              <w:rPr>
                <w:rFonts w:ascii="Arial" w:hAnsi="Arial" w:cs="Arial"/>
                <w:sz w:val="16"/>
                <w:szCs w:val="16"/>
                <w:lang w:eastAsia="sl-SI"/>
              </w:rPr>
              <w:t>DRSI proračun: Investicijska dejavnost na železniški infrastrukturi</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132,61</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184,45</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244,37</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279,54</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208,13</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149,45</w:t>
            </w:r>
          </w:p>
        </w:tc>
        <w:tc>
          <w:tcPr>
            <w:tcW w:w="102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127,10</w:t>
            </w:r>
          </w:p>
        </w:tc>
        <w:tc>
          <w:tcPr>
            <w:tcW w:w="124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1.325,64</w:t>
            </w:r>
          </w:p>
        </w:tc>
        <w:tc>
          <w:tcPr>
            <w:tcW w:w="124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828,96</w:t>
            </w:r>
          </w:p>
        </w:tc>
      </w:tr>
      <w:tr w:rsidR="00D91D1F" w:rsidRPr="00D91D1F" w:rsidTr="00BF1663">
        <w:trPr>
          <w:trHeight w:val="210"/>
        </w:trPr>
        <w:tc>
          <w:tcPr>
            <w:tcW w:w="460" w:type="dxa"/>
            <w:tcBorders>
              <w:top w:val="nil"/>
              <w:left w:val="single" w:sz="4" w:space="0" w:color="auto"/>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1.1</w:t>
            </w:r>
          </w:p>
        </w:tc>
        <w:tc>
          <w:tcPr>
            <w:tcW w:w="412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rPr>
                <w:rFonts w:ascii="Arial" w:hAnsi="Arial" w:cs="Arial"/>
                <w:sz w:val="16"/>
                <w:szCs w:val="16"/>
                <w:lang w:eastAsia="sl-SI"/>
              </w:rPr>
            </w:pPr>
            <w:r w:rsidRPr="00D91D1F">
              <w:rPr>
                <w:rFonts w:ascii="Arial" w:hAnsi="Arial" w:cs="Arial"/>
                <w:sz w:val="16"/>
                <w:szCs w:val="16"/>
                <w:lang w:eastAsia="sl-SI"/>
              </w:rPr>
              <w:t>priprava</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16,62</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19,98</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16,99</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9,49</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8,51</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5,16</w:t>
            </w:r>
          </w:p>
        </w:tc>
        <w:tc>
          <w:tcPr>
            <w:tcW w:w="102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5,17</w:t>
            </w:r>
          </w:p>
        </w:tc>
        <w:tc>
          <w:tcPr>
            <w:tcW w:w="124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81,90</w:t>
            </w:r>
          </w:p>
        </w:tc>
        <w:tc>
          <w:tcPr>
            <w:tcW w:w="124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r>
      <w:tr w:rsidR="00D91D1F" w:rsidRPr="00D91D1F" w:rsidTr="00BF1663">
        <w:trPr>
          <w:trHeight w:val="210"/>
        </w:trPr>
        <w:tc>
          <w:tcPr>
            <w:tcW w:w="460" w:type="dxa"/>
            <w:tcBorders>
              <w:top w:val="nil"/>
              <w:left w:val="single" w:sz="4" w:space="0" w:color="auto"/>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1.2</w:t>
            </w:r>
          </w:p>
        </w:tc>
        <w:tc>
          <w:tcPr>
            <w:tcW w:w="412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rPr>
                <w:rFonts w:ascii="Arial" w:hAnsi="Arial" w:cs="Arial"/>
                <w:sz w:val="16"/>
                <w:szCs w:val="16"/>
                <w:lang w:eastAsia="sl-SI"/>
              </w:rPr>
            </w:pPr>
            <w:r w:rsidRPr="00D91D1F">
              <w:rPr>
                <w:rFonts w:ascii="Arial" w:hAnsi="Arial" w:cs="Arial"/>
                <w:sz w:val="16"/>
                <w:szCs w:val="16"/>
                <w:lang w:eastAsia="sl-SI"/>
              </w:rPr>
              <w:t>izvedba</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115,99</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164,47</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227,38</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270,05</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199,62</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144,29</w:t>
            </w:r>
          </w:p>
        </w:tc>
        <w:tc>
          <w:tcPr>
            <w:tcW w:w="102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121,93</w:t>
            </w:r>
          </w:p>
        </w:tc>
        <w:tc>
          <w:tcPr>
            <w:tcW w:w="124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1.243,74</w:t>
            </w:r>
          </w:p>
        </w:tc>
        <w:tc>
          <w:tcPr>
            <w:tcW w:w="124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828,96</w:t>
            </w:r>
          </w:p>
        </w:tc>
      </w:tr>
      <w:tr w:rsidR="00D91D1F" w:rsidRPr="00D91D1F" w:rsidTr="00BF1663">
        <w:trPr>
          <w:trHeight w:val="210"/>
        </w:trPr>
        <w:tc>
          <w:tcPr>
            <w:tcW w:w="460" w:type="dxa"/>
            <w:tcBorders>
              <w:top w:val="nil"/>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w:t>
            </w:r>
          </w:p>
        </w:tc>
        <w:tc>
          <w:tcPr>
            <w:tcW w:w="412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rPr>
                <w:rFonts w:ascii="Arial" w:hAnsi="Arial" w:cs="Arial"/>
                <w:sz w:val="16"/>
                <w:szCs w:val="16"/>
                <w:lang w:eastAsia="sl-SI"/>
              </w:rPr>
            </w:pPr>
            <w:r w:rsidRPr="00D91D1F">
              <w:rPr>
                <w:rFonts w:ascii="Arial" w:hAnsi="Arial" w:cs="Arial"/>
                <w:sz w:val="16"/>
                <w:szCs w:val="16"/>
                <w:lang w:eastAsia="sl-SI"/>
              </w:rPr>
              <w:t>JZP (izvedba)</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90,00</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178,00</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254,00</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235,00</w:t>
            </w:r>
          </w:p>
        </w:tc>
        <w:tc>
          <w:tcPr>
            <w:tcW w:w="102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203,00</w:t>
            </w:r>
          </w:p>
        </w:tc>
        <w:tc>
          <w:tcPr>
            <w:tcW w:w="124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960,00</w:t>
            </w:r>
          </w:p>
        </w:tc>
        <w:tc>
          <w:tcPr>
            <w:tcW w:w="124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285,00</w:t>
            </w:r>
          </w:p>
        </w:tc>
      </w:tr>
      <w:tr w:rsidR="00D91D1F" w:rsidRPr="00D91D1F" w:rsidTr="00BF1663">
        <w:trPr>
          <w:trHeight w:val="420"/>
        </w:trPr>
        <w:tc>
          <w:tcPr>
            <w:tcW w:w="460" w:type="dxa"/>
            <w:tcBorders>
              <w:top w:val="nil"/>
              <w:left w:val="single" w:sz="4" w:space="0" w:color="auto"/>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3.</w:t>
            </w:r>
          </w:p>
        </w:tc>
        <w:tc>
          <w:tcPr>
            <w:tcW w:w="412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rPr>
                <w:rFonts w:ascii="Arial" w:hAnsi="Arial" w:cs="Arial"/>
                <w:b/>
                <w:bCs/>
                <w:sz w:val="16"/>
                <w:szCs w:val="16"/>
                <w:lang w:eastAsia="sl-SI"/>
              </w:rPr>
            </w:pPr>
            <w:r w:rsidRPr="00D91D1F">
              <w:rPr>
                <w:rFonts w:ascii="Arial" w:hAnsi="Arial" w:cs="Arial"/>
                <w:b/>
                <w:bCs/>
                <w:sz w:val="16"/>
                <w:szCs w:val="16"/>
                <w:lang w:eastAsia="sl-SI"/>
              </w:rPr>
              <w:t>Skupaj železnice - vlaganja države brez JZP (1)</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132,61</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184,45</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244,37</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279,54</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208,13</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149,45</w:t>
            </w:r>
          </w:p>
        </w:tc>
        <w:tc>
          <w:tcPr>
            <w:tcW w:w="102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127,10</w:t>
            </w:r>
          </w:p>
        </w:tc>
        <w:tc>
          <w:tcPr>
            <w:tcW w:w="124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1.325,64</w:t>
            </w:r>
          </w:p>
        </w:tc>
        <w:tc>
          <w:tcPr>
            <w:tcW w:w="124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828,96</w:t>
            </w:r>
          </w:p>
        </w:tc>
      </w:tr>
    </w:tbl>
    <w:p w:rsidR="00D91D1F" w:rsidRPr="00D91D1F" w:rsidRDefault="00D91D1F" w:rsidP="00D91D1F">
      <w:pPr>
        <w:pStyle w:val="Odstavekseznama"/>
        <w:suppressAutoHyphens w:val="0"/>
        <w:ind w:left="0"/>
        <w:jc w:val="both"/>
        <w:rPr>
          <w:rFonts w:ascii="Arial" w:hAnsi="Arial" w:cs="Arial"/>
          <w:szCs w:val="22"/>
        </w:rPr>
      </w:pPr>
    </w:p>
    <w:p w:rsidR="00D91D1F" w:rsidRPr="00D91D1F" w:rsidRDefault="00D91D1F" w:rsidP="00D91D1F">
      <w:pPr>
        <w:pStyle w:val="Odstavekseznama"/>
        <w:suppressAutoHyphens w:val="0"/>
        <w:ind w:left="0"/>
        <w:jc w:val="both"/>
        <w:rPr>
          <w:rFonts w:ascii="Arial" w:hAnsi="Arial" w:cs="Arial"/>
          <w:szCs w:val="22"/>
        </w:rPr>
      </w:pPr>
    </w:p>
    <w:p w:rsidR="00D91D1F" w:rsidRPr="00E564A6" w:rsidRDefault="00D91D1F" w:rsidP="00D91D1F">
      <w:pPr>
        <w:pStyle w:val="Odstavekseznama"/>
        <w:suppressAutoHyphens w:val="0"/>
        <w:ind w:left="0"/>
        <w:jc w:val="both"/>
        <w:rPr>
          <w:rFonts w:ascii="Arial" w:hAnsi="Arial" w:cs="Arial"/>
          <w:sz w:val="20"/>
          <w:szCs w:val="20"/>
        </w:rPr>
      </w:pPr>
      <w:r w:rsidRPr="00E564A6">
        <w:rPr>
          <w:rFonts w:ascii="Arial" w:hAnsi="Arial" w:cs="Arial"/>
          <w:sz w:val="20"/>
          <w:szCs w:val="20"/>
        </w:rPr>
        <w:t>Sofinanciranje z EU sredstvi na področju železnic je ocenjeno v višini 355 mio EUR.</w:t>
      </w:r>
    </w:p>
    <w:p w:rsidR="00D91D1F" w:rsidRPr="00E564A6" w:rsidRDefault="00D91D1F" w:rsidP="00D91D1F">
      <w:pPr>
        <w:pStyle w:val="Odstavekseznama"/>
        <w:suppressAutoHyphens w:val="0"/>
        <w:ind w:left="0"/>
        <w:jc w:val="both"/>
        <w:rPr>
          <w:rFonts w:ascii="Arial" w:hAnsi="Arial" w:cs="Arial"/>
          <w:sz w:val="20"/>
          <w:szCs w:val="20"/>
        </w:rPr>
      </w:pPr>
    </w:p>
    <w:p w:rsidR="00D91D1F" w:rsidRPr="00E564A6" w:rsidRDefault="00D91D1F" w:rsidP="00D91D1F">
      <w:pPr>
        <w:pStyle w:val="Odstavekseznama"/>
        <w:suppressAutoHyphens w:val="0"/>
        <w:ind w:left="0"/>
        <w:jc w:val="both"/>
        <w:rPr>
          <w:rFonts w:ascii="Arial" w:hAnsi="Arial" w:cs="Arial"/>
          <w:sz w:val="20"/>
          <w:szCs w:val="20"/>
        </w:rPr>
      </w:pPr>
      <w:r w:rsidRPr="00E564A6">
        <w:rPr>
          <w:rFonts w:ascii="Arial" w:hAnsi="Arial" w:cs="Arial"/>
          <w:sz w:val="20"/>
          <w:szCs w:val="20"/>
        </w:rPr>
        <w:t>Tabela 5</w:t>
      </w:r>
      <w:r w:rsidRPr="00E564A6">
        <w:rPr>
          <w:rFonts w:ascii="Arial" w:hAnsi="Arial" w:cs="Arial"/>
          <w:sz w:val="20"/>
          <w:szCs w:val="20"/>
        </w:rPr>
        <w:noBreakHyphen/>
        <w:t>6</w:t>
      </w:r>
      <w:r w:rsidRPr="00E564A6">
        <w:rPr>
          <w:rFonts w:ascii="Arial" w:hAnsi="Arial" w:cs="Arial"/>
          <w:sz w:val="20"/>
          <w:szCs w:val="20"/>
          <w:lang w:eastAsia="sl-SI"/>
        </w:rPr>
        <w:t>:</w:t>
      </w:r>
      <w:r w:rsidRPr="00E564A6">
        <w:rPr>
          <w:rFonts w:ascii="Arial" w:hAnsi="Arial" w:cs="Arial"/>
          <w:sz w:val="20"/>
          <w:szCs w:val="20"/>
        </w:rPr>
        <w:t xml:space="preserve"> Predvidena dinamika vlaganj v vzdrževanje javne železniške infrastrukture in zagotavljanje varnosti v železniškem prometu (v mio EUR)</w:t>
      </w:r>
    </w:p>
    <w:tbl>
      <w:tblPr>
        <w:tblW w:w="13765" w:type="dxa"/>
        <w:tblInd w:w="55" w:type="dxa"/>
        <w:tblCellMar>
          <w:left w:w="70" w:type="dxa"/>
          <w:right w:w="70" w:type="dxa"/>
        </w:tblCellMar>
        <w:tblLook w:val="04A0" w:firstRow="1" w:lastRow="0" w:firstColumn="1" w:lastColumn="0" w:noHBand="0" w:noVBand="1"/>
      </w:tblPr>
      <w:tblGrid>
        <w:gridCol w:w="4551"/>
        <w:gridCol w:w="993"/>
        <w:gridCol w:w="992"/>
        <w:gridCol w:w="850"/>
        <w:gridCol w:w="993"/>
        <w:gridCol w:w="992"/>
        <w:gridCol w:w="992"/>
        <w:gridCol w:w="992"/>
        <w:gridCol w:w="1276"/>
        <w:gridCol w:w="1134"/>
      </w:tblGrid>
      <w:tr w:rsidR="00D91D1F" w:rsidRPr="00D91D1F" w:rsidTr="00CD3F55">
        <w:trPr>
          <w:trHeight w:val="420"/>
        </w:trPr>
        <w:tc>
          <w:tcPr>
            <w:tcW w:w="45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suppressAutoHyphens w:val="0"/>
              <w:rPr>
                <w:rFonts w:ascii="Arial" w:hAnsi="Arial" w:cs="Arial"/>
                <w:b/>
                <w:bCs/>
                <w:sz w:val="16"/>
                <w:szCs w:val="16"/>
                <w:lang w:eastAsia="sl-SI"/>
              </w:rPr>
            </w:pPr>
          </w:p>
        </w:tc>
        <w:tc>
          <w:tcPr>
            <w:tcW w:w="993"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2016</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2017</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2018</w:t>
            </w:r>
          </w:p>
        </w:tc>
        <w:tc>
          <w:tcPr>
            <w:tcW w:w="993"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2019</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2020</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2021</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2022</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Skupaj 2016-2022</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Skupaj 2023-2030</w:t>
            </w:r>
          </w:p>
        </w:tc>
      </w:tr>
      <w:tr w:rsidR="00D91D1F" w:rsidRPr="00D91D1F" w:rsidTr="00CD3F55">
        <w:trPr>
          <w:trHeight w:val="420"/>
        </w:trPr>
        <w:tc>
          <w:tcPr>
            <w:tcW w:w="4551" w:type="dxa"/>
            <w:tcBorders>
              <w:top w:val="nil"/>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suppressAutoHyphens w:val="0"/>
              <w:rPr>
                <w:rFonts w:ascii="Arial" w:hAnsi="Arial" w:cs="Arial"/>
                <w:sz w:val="16"/>
                <w:szCs w:val="16"/>
                <w:lang w:eastAsia="sl-SI"/>
              </w:rPr>
            </w:pPr>
            <w:r w:rsidRPr="00D91D1F">
              <w:rPr>
                <w:rFonts w:ascii="Arial" w:hAnsi="Arial" w:cs="Arial"/>
                <w:sz w:val="16"/>
                <w:szCs w:val="16"/>
                <w:lang w:eastAsia="sl-SI"/>
              </w:rPr>
              <w:t>DRSI proračun: Vzdrževanje javne železniške infrastrukture</w:t>
            </w:r>
          </w:p>
        </w:tc>
        <w:tc>
          <w:tcPr>
            <w:tcW w:w="99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65,77</w:t>
            </w:r>
          </w:p>
        </w:tc>
        <w:tc>
          <w:tcPr>
            <w:tcW w:w="992"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66,34</w:t>
            </w:r>
          </w:p>
        </w:tc>
        <w:tc>
          <w:tcPr>
            <w:tcW w:w="85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90,00</w:t>
            </w:r>
          </w:p>
        </w:tc>
        <w:tc>
          <w:tcPr>
            <w:tcW w:w="99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90,00</w:t>
            </w:r>
          </w:p>
        </w:tc>
        <w:tc>
          <w:tcPr>
            <w:tcW w:w="992"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90,00</w:t>
            </w:r>
          </w:p>
        </w:tc>
        <w:tc>
          <w:tcPr>
            <w:tcW w:w="992"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90,00</w:t>
            </w:r>
          </w:p>
        </w:tc>
        <w:tc>
          <w:tcPr>
            <w:tcW w:w="992"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90,00</w:t>
            </w:r>
          </w:p>
        </w:tc>
        <w:tc>
          <w:tcPr>
            <w:tcW w:w="1276"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582,11</w:t>
            </w:r>
          </w:p>
        </w:tc>
        <w:tc>
          <w:tcPr>
            <w:tcW w:w="1134"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720,00</w:t>
            </w:r>
          </w:p>
        </w:tc>
      </w:tr>
      <w:tr w:rsidR="00D91D1F" w:rsidRPr="00D91D1F" w:rsidTr="00CD3F55">
        <w:trPr>
          <w:trHeight w:val="420"/>
        </w:trPr>
        <w:tc>
          <w:tcPr>
            <w:tcW w:w="4551" w:type="dxa"/>
            <w:tcBorders>
              <w:top w:val="nil"/>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suppressAutoHyphens w:val="0"/>
              <w:rPr>
                <w:rFonts w:ascii="Arial" w:hAnsi="Arial" w:cs="Arial"/>
                <w:sz w:val="16"/>
                <w:szCs w:val="16"/>
                <w:lang w:eastAsia="sl-SI"/>
              </w:rPr>
            </w:pPr>
            <w:r w:rsidRPr="00D91D1F">
              <w:rPr>
                <w:rFonts w:ascii="Arial" w:hAnsi="Arial" w:cs="Arial"/>
                <w:sz w:val="16"/>
                <w:szCs w:val="16"/>
                <w:lang w:eastAsia="sl-SI"/>
              </w:rPr>
              <w:t>DRSI proračun: Zagotavljanje varnosti v železniškem prometu</w:t>
            </w:r>
          </w:p>
        </w:tc>
        <w:tc>
          <w:tcPr>
            <w:tcW w:w="99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46,42</w:t>
            </w:r>
          </w:p>
        </w:tc>
        <w:tc>
          <w:tcPr>
            <w:tcW w:w="992"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46,66</w:t>
            </w:r>
          </w:p>
        </w:tc>
        <w:tc>
          <w:tcPr>
            <w:tcW w:w="85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46,00</w:t>
            </w:r>
          </w:p>
        </w:tc>
        <w:tc>
          <w:tcPr>
            <w:tcW w:w="99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46,00</w:t>
            </w:r>
          </w:p>
        </w:tc>
        <w:tc>
          <w:tcPr>
            <w:tcW w:w="992"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46,00</w:t>
            </w:r>
          </w:p>
        </w:tc>
        <w:tc>
          <w:tcPr>
            <w:tcW w:w="992"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46,00</w:t>
            </w:r>
          </w:p>
        </w:tc>
        <w:tc>
          <w:tcPr>
            <w:tcW w:w="992"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46,00</w:t>
            </w:r>
          </w:p>
        </w:tc>
        <w:tc>
          <w:tcPr>
            <w:tcW w:w="1276"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323,08</w:t>
            </w:r>
          </w:p>
        </w:tc>
        <w:tc>
          <w:tcPr>
            <w:tcW w:w="1134"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368,00</w:t>
            </w:r>
          </w:p>
        </w:tc>
      </w:tr>
      <w:tr w:rsidR="00D91D1F" w:rsidRPr="00D91D1F" w:rsidTr="00CD3F55">
        <w:trPr>
          <w:trHeight w:val="210"/>
        </w:trPr>
        <w:tc>
          <w:tcPr>
            <w:tcW w:w="4551" w:type="dxa"/>
            <w:tcBorders>
              <w:top w:val="nil"/>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suppressAutoHyphens w:val="0"/>
              <w:rPr>
                <w:rFonts w:ascii="Arial" w:hAnsi="Arial" w:cs="Arial"/>
                <w:b/>
                <w:bCs/>
                <w:sz w:val="16"/>
                <w:szCs w:val="16"/>
                <w:lang w:eastAsia="sl-SI"/>
              </w:rPr>
            </w:pPr>
            <w:r w:rsidRPr="00D91D1F">
              <w:rPr>
                <w:rFonts w:ascii="Arial" w:hAnsi="Arial" w:cs="Arial"/>
                <w:b/>
                <w:bCs/>
                <w:sz w:val="16"/>
                <w:szCs w:val="16"/>
                <w:lang w:eastAsia="sl-SI"/>
              </w:rPr>
              <w:t>Skupaj OGJS - železnice</w:t>
            </w:r>
          </w:p>
        </w:tc>
        <w:tc>
          <w:tcPr>
            <w:tcW w:w="99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112,19</w:t>
            </w:r>
          </w:p>
        </w:tc>
        <w:tc>
          <w:tcPr>
            <w:tcW w:w="992"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113,00</w:t>
            </w:r>
          </w:p>
        </w:tc>
        <w:tc>
          <w:tcPr>
            <w:tcW w:w="85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136,00</w:t>
            </w:r>
          </w:p>
        </w:tc>
        <w:tc>
          <w:tcPr>
            <w:tcW w:w="99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136,00</w:t>
            </w:r>
          </w:p>
        </w:tc>
        <w:tc>
          <w:tcPr>
            <w:tcW w:w="992"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136,00</w:t>
            </w:r>
          </w:p>
        </w:tc>
        <w:tc>
          <w:tcPr>
            <w:tcW w:w="992"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136,00</w:t>
            </w:r>
          </w:p>
        </w:tc>
        <w:tc>
          <w:tcPr>
            <w:tcW w:w="992"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136,00</w:t>
            </w:r>
          </w:p>
        </w:tc>
        <w:tc>
          <w:tcPr>
            <w:tcW w:w="1276"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905,19</w:t>
            </w:r>
          </w:p>
        </w:tc>
        <w:tc>
          <w:tcPr>
            <w:tcW w:w="1134"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1.088,00</w:t>
            </w:r>
          </w:p>
        </w:tc>
      </w:tr>
    </w:tbl>
    <w:p w:rsidR="00D91D1F" w:rsidRPr="00D91D1F" w:rsidRDefault="00D91D1F" w:rsidP="00D91D1F">
      <w:pPr>
        <w:pStyle w:val="Odstavekseznama"/>
        <w:suppressAutoHyphens w:val="0"/>
        <w:ind w:left="0"/>
        <w:jc w:val="both"/>
        <w:rPr>
          <w:rFonts w:ascii="Arial" w:hAnsi="Arial" w:cs="Arial"/>
          <w:szCs w:val="22"/>
        </w:rPr>
      </w:pPr>
    </w:p>
    <w:p w:rsidR="00D91D1F" w:rsidRPr="00D91D1F" w:rsidRDefault="00D91D1F" w:rsidP="00D91D1F">
      <w:pPr>
        <w:jc w:val="both"/>
        <w:rPr>
          <w:rFonts w:ascii="Arial" w:hAnsi="Arial" w:cs="Arial"/>
          <w:szCs w:val="22"/>
        </w:rPr>
        <w:sectPr w:rsidR="00D91D1F" w:rsidRPr="00D91D1F" w:rsidSect="00BF1663">
          <w:pgSz w:w="16838" w:h="11906" w:orient="landscape"/>
          <w:pgMar w:top="1417" w:right="1417" w:bottom="1417" w:left="1417" w:header="708" w:footer="708" w:gutter="0"/>
          <w:cols w:space="708"/>
          <w:docGrid w:linePitch="360"/>
        </w:sectPr>
      </w:pPr>
    </w:p>
    <w:p w:rsidR="00D91D1F" w:rsidRPr="00E564A6" w:rsidRDefault="00D91D1F" w:rsidP="00D91D1F">
      <w:pPr>
        <w:jc w:val="both"/>
        <w:rPr>
          <w:rFonts w:ascii="Arial" w:hAnsi="Arial" w:cs="Arial"/>
          <w:sz w:val="20"/>
          <w:szCs w:val="22"/>
          <w:lang w:eastAsia="sl-SI"/>
        </w:rPr>
      </w:pPr>
      <w:r w:rsidRPr="00E564A6">
        <w:rPr>
          <w:rFonts w:ascii="Arial" w:hAnsi="Arial" w:cs="Arial"/>
          <w:sz w:val="20"/>
          <w:szCs w:val="22"/>
        </w:rPr>
        <w:lastRenderedPageBreak/>
        <w:t>Za investicijo II. tir Divača–Koper je predvideno (so)financiranje projekta z zasebnim kapitalom (v tabeli prikazana investicija v vrstici JZP), oz. bosta morebitno državno sofinanciranje tega projekta in višina le-tega odvisna od rezultatov podrobnega modela javno-zasebnega partnerstva (JZP). M</w:t>
      </w:r>
      <w:r w:rsidRPr="00E564A6">
        <w:rPr>
          <w:rFonts w:ascii="Arial" w:hAnsi="Arial" w:cs="Arial"/>
          <w:sz w:val="20"/>
          <w:szCs w:val="22"/>
          <w:lang w:eastAsia="sl-SI"/>
        </w:rPr>
        <w:t xml:space="preserve">inistrstvo za infrastrukturo izvaja tudi aktivnosti za pridobitev EU sredstev za </w:t>
      </w:r>
      <w:r w:rsidRPr="00E564A6">
        <w:rPr>
          <w:rFonts w:ascii="Arial" w:hAnsi="Arial" w:cs="Arial"/>
          <w:sz w:val="20"/>
          <w:szCs w:val="22"/>
        </w:rPr>
        <w:t xml:space="preserve">investicijo projekta II. tir Divača–Koper. </w:t>
      </w:r>
    </w:p>
    <w:p w:rsidR="00D91D1F" w:rsidRPr="00E564A6" w:rsidRDefault="00D91D1F" w:rsidP="00D91D1F">
      <w:pPr>
        <w:jc w:val="both"/>
        <w:rPr>
          <w:rFonts w:ascii="Arial" w:hAnsi="Arial" w:cs="Arial"/>
          <w:sz w:val="20"/>
          <w:szCs w:val="22"/>
        </w:rPr>
      </w:pPr>
    </w:p>
    <w:p w:rsidR="00D91D1F" w:rsidRPr="00E564A6" w:rsidRDefault="00D91D1F" w:rsidP="00D91D1F">
      <w:pPr>
        <w:jc w:val="both"/>
        <w:rPr>
          <w:rFonts w:ascii="Arial" w:hAnsi="Arial" w:cs="Arial"/>
          <w:sz w:val="20"/>
          <w:szCs w:val="22"/>
        </w:rPr>
      </w:pPr>
      <w:r w:rsidRPr="00E564A6">
        <w:rPr>
          <w:rFonts w:ascii="Arial" w:hAnsi="Arial" w:cs="Arial"/>
          <w:sz w:val="20"/>
          <w:szCs w:val="22"/>
        </w:rPr>
        <w:t xml:space="preserve">Na področju železniške infrastrukture so predvidena vlaganja v investicijsko dejavnost na železniški infrastrukturi v obdobju 2016–2022 s strani države (MzI, DRSI) v višini 1.325,64 mio EUR (tabela 5-5). Za investicijsko dejavnost na železniški infrastrukturi je poraba za leto 2016 predvidena skladno s potrjenimi viri v proračunu v višini 132,61 mio EUR. Prav tako so s strani države predvidena vlaganja (tabela 5-6) v višini 582,11 mio EUR za vzdrževanje javne železniške infrastrukture in 323,08 mio EUR za zagotavljanje varnosti v železniškem prometu.  </w:t>
      </w:r>
    </w:p>
    <w:p w:rsidR="00D91D1F" w:rsidRPr="00E564A6" w:rsidRDefault="00D91D1F" w:rsidP="00D91D1F">
      <w:pPr>
        <w:jc w:val="both"/>
        <w:rPr>
          <w:rFonts w:ascii="Arial" w:hAnsi="Arial" w:cs="Arial"/>
          <w:sz w:val="20"/>
          <w:szCs w:val="22"/>
        </w:rPr>
      </w:pPr>
    </w:p>
    <w:p w:rsidR="00D91D1F" w:rsidRPr="00E564A6" w:rsidRDefault="00D91D1F" w:rsidP="00D91D1F">
      <w:pPr>
        <w:jc w:val="both"/>
        <w:rPr>
          <w:rFonts w:ascii="Arial" w:hAnsi="Arial" w:cs="Arial"/>
          <w:sz w:val="20"/>
          <w:szCs w:val="22"/>
          <w:lang w:eastAsia="sl-SI"/>
        </w:rPr>
      </w:pPr>
      <w:r w:rsidRPr="00E564A6">
        <w:rPr>
          <w:rFonts w:ascii="Arial" w:hAnsi="Arial" w:cs="Arial"/>
          <w:sz w:val="20"/>
          <w:szCs w:val="22"/>
          <w:lang w:eastAsia="sl-SI"/>
        </w:rPr>
        <w:t xml:space="preserve">Tudi na področju železnic morajo nosilci aktivnosti izdelati predlog 6-letnega načrta za aktivnosti, za katere so zadolženi in so razvidne iz prilog Nacionalnega programa. Pri izvajanju teh aktivnosti morajo upoštevati določila tehničnih specifikacij interoperabilnosti (v nadaljevanju TSI) za posamezne podsisteme (infrastruktura, energija, vodenje, upravljanje in signalizacija, hrup, varnost v predorih, osebe z omejeno mobilnostjo, železniška tirna vozila - lokomotive in potniški vagoni in železniška tirna vozila - tovorni vagoni) skladno s sprejetimi predpisi EU in v njih določenih rokih. Gospodarska družba, zadolžena za razvoj investicij, pa mora pripraviti predlog letnega načrta investicij v javno železniško infrastrukturo. Zakon o železniškem prometu </w:t>
      </w:r>
      <w:r w:rsidR="00D1451F" w:rsidRPr="00D1451F">
        <w:rPr>
          <w:rFonts w:ascii="Arial" w:hAnsi="Arial" w:cs="Arial"/>
          <w:sz w:val="20"/>
          <w:szCs w:val="22"/>
          <w:lang w:eastAsia="sl-SI"/>
        </w:rPr>
        <w:t>(Uradni list RS, št. 99/2015-uradno prečiščeno besedilo)</w:t>
      </w:r>
      <w:r w:rsidRPr="00E564A6">
        <w:rPr>
          <w:rFonts w:ascii="Arial" w:hAnsi="Arial" w:cs="Arial"/>
          <w:sz w:val="20"/>
          <w:szCs w:val="22"/>
          <w:lang w:eastAsia="sl-SI"/>
        </w:rPr>
        <w:t xml:space="preserve"> opredeljuje obveznost, da letni načrt investicij javne železniške infrastrukture na predlog gospodarske družbe iz prvega odstavka 13. a člena navedenega zakona sprejme ministrstvo, pristojno za promet. </w:t>
      </w:r>
    </w:p>
    <w:p w:rsidR="00D91D1F" w:rsidRPr="00E564A6" w:rsidRDefault="00D91D1F" w:rsidP="00D91D1F">
      <w:pPr>
        <w:jc w:val="both"/>
        <w:rPr>
          <w:rFonts w:ascii="Arial" w:hAnsi="Arial" w:cs="Arial"/>
          <w:sz w:val="20"/>
          <w:szCs w:val="22"/>
          <w:lang w:eastAsia="sl-SI"/>
        </w:rPr>
      </w:pPr>
      <w:r w:rsidRPr="00E564A6">
        <w:rPr>
          <w:rFonts w:ascii="Arial" w:hAnsi="Arial" w:cs="Arial"/>
          <w:sz w:val="20"/>
          <w:szCs w:val="22"/>
          <w:lang w:eastAsia="sl-SI"/>
        </w:rPr>
        <w:t xml:space="preserve">Gospodarska družba, pristojna za razvoj investicij mora za izvrševanje nalog skladno z Zakonom o železniškem prometu vzpostaviti in voditi informacijski sistem vodenja investicij v javno železniško infrastrukturo, ki vsebuje podatke in dokumentacijo o vseh fazah investicij, pri tem pa mora MzI zagotoviti možnost neposrednega vpogleda v stanje investicij in dokumentacijo, ki se vodi v okviru informacijskega sistema. </w:t>
      </w:r>
    </w:p>
    <w:p w:rsidR="00D91D1F" w:rsidRPr="00E564A6" w:rsidRDefault="00D91D1F" w:rsidP="00D91D1F">
      <w:pPr>
        <w:jc w:val="both"/>
        <w:rPr>
          <w:rFonts w:ascii="Arial" w:hAnsi="Arial" w:cs="Arial"/>
          <w:sz w:val="20"/>
          <w:szCs w:val="22"/>
          <w:lang w:eastAsia="sl-SI"/>
        </w:rPr>
      </w:pPr>
    </w:p>
    <w:p w:rsidR="00D91D1F" w:rsidRPr="00E564A6" w:rsidRDefault="00D91D1F" w:rsidP="00D91D1F">
      <w:pPr>
        <w:jc w:val="both"/>
        <w:rPr>
          <w:rFonts w:ascii="Arial" w:hAnsi="Arial" w:cs="Arial"/>
          <w:sz w:val="20"/>
          <w:szCs w:val="22"/>
          <w:lang w:eastAsia="sl-SI"/>
        </w:rPr>
      </w:pPr>
      <w:r w:rsidRPr="00E564A6">
        <w:rPr>
          <w:rFonts w:ascii="Arial" w:hAnsi="Arial" w:cs="Arial"/>
          <w:sz w:val="20"/>
          <w:szCs w:val="22"/>
          <w:lang w:eastAsia="sl-SI"/>
        </w:rPr>
        <w:t xml:space="preserve">Naloge upravljavca javne železniške infrastrukture v RS skladno z 2. točko 11. c člena Zakona o železniškem prometu opravlja odvisna družba Slovenskih železnic d.o.o., to je podjetje SŽ – Infrastruktura d.o.o., ki med drugim izvaja naloge vzdrževanja javne železniške infrastrukture. Te naloge obsegajo predvsem: vzdrževalna dela, ki ohranjajo normalno obratovalno sposobnost in zagotavljajo prometno varnost; v redna vzdrževalna dela sodi tudi zamenjava v okviru vzdrževanja, ki pomeni zamenjavo komponent pri preventivnem in korektivnem vzdrževanju z deli, ki imajo identično funkcijo in enako delujejo ter nadzor nad podsistemi, zagotovitev vzpostavitve prevoznosti prog ob naravnih in drugih nesrečah, vodenje registrov in evidenc in izvajanje meritev posameznih parametrov ali delov sistema; obnove javne železniške infrastrukture.  </w:t>
      </w:r>
    </w:p>
    <w:p w:rsidR="00D91D1F" w:rsidRPr="00E564A6" w:rsidRDefault="00D91D1F" w:rsidP="00D91D1F">
      <w:pPr>
        <w:jc w:val="both"/>
        <w:rPr>
          <w:rFonts w:ascii="Arial" w:hAnsi="Arial" w:cs="Arial"/>
          <w:sz w:val="20"/>
          <w:szCs w:val="22"/>
          <w:lang w:eastAsia="sl-SI"/>
        </w:rPr>
      </w:pPr>
    </w:p>
    <w:p w:rsidR="00D91D1F" w:rsidRPr="00E564A6" w:rsidRDefault="00D91D1F" w:rsidP="00D91D1F">
      <w:pPr>
        <w:jc w:val="both"/>
        <w:rPr>
          <w:rFonts w:ascii="Arial" w:hAnsi="Arial" w:cs="Arial"/>
          <w:sz w:val="20"/>
          <w:szCs w:val="22"/>
          <w:lang w:eastAsia="sl-SI"/>
        </w:rPr>
      </w:pPr>
      <w:r w:rsidRPr="00E564A6">
        <w:rPr>
          <w:rFonts w:ascii="Arial" w:hAnsi="Arial" w:cs="Arial"/>
          <w:sz w:val="20"/>
          <w:szCs w:val="22"/>
          <w:lang w:eastAsia="sl-SI"/>
        </w:rPr>
        <w:t xml:space="preserve">Tudi upravljavec ima skladno z zakonom obveznost vzpostaviti in voditi informacijski sistem vodenja obnov javne železniške infrastrukture, ki vsebuje podatke in dokumentacijo o vseh fazah obnov kot tudi evidenco podatkov o izdatkih za obnove javne železniške infrastrukture. Pri tem pa mora ministrstvu zagotoviti možnost neposrednega vpogleda v stanje obnov in dokumentacijo, ki se vodi v okviru informacijskega sistema. </w:t>
      </w:r>
    </w:p>
    <w:p w:rsidR="00D91D1F" w:rsidRPr="00E564A6" w:rsidRDefault="00D91D1F" w:rsidP="00D91D1F">
      <w:pPr>
        <w:jc w:val="both"/>
        <w:rPr>
          <w:rFonts w:ascii="Arial" w:hAnsi="Arial" w:cs="Arial"/>
          <w:sz w:val="20"/>
          <w:szCs w:val="22"/>
          <w:lang w:eastAsia="sl-SI"/>
        </w:rPr>
      </w:pPr>
    </w:p>
    <w:p w:rsidR="00D91D1F" w:rsidRPr="00E564A6" w:rsidRDefault="00D91D1F" w:rsidP="00D91D1F">
      <w:pPr>
        <w:jc w:val="both"/>
        <w:rPr>
          <w:rFonts w:ascii="Arial" w:hAnsi="Arial" w:cs="Arial"/>
          <w:sz w:val="20"/>
          <w:szCs w:val="22"/>
          <w:lang w:eastAsia="sl-SI"/>
        </w:rPr>
      </w:pPr>
      <w:r w:rsidRPr="00E564A6">
        <w:rPr>
          <w:rFonts w:ascii="Arial" w:hAnsi="Arial" w:cs="Arial"/>
          <w:sz w:val="20"/>
          <w:szCs w:val="22"/>
          <w:lang w:eastAsia="sl-SI"/>
        </w:rPr>
        <w:t>Letni načrt investicij na področju železniškega prometa pripravi DRSI, potrdi pa minister pristojen za promet, 6-letni načrt izvajanja aktivnosti pa se združi in uskladi z ostalimi področji prometne infrastrukture in se ga posreduje v potrditev Vladi RS.</w:t>
      </w:r>
    </w:p>
    <w:p w:rsidR="00D91D1F" w:rsidRPr="00E564A6" w:rsidRDefault="00D91D1F" w:rsidP="00D91D1F">
      <w:pPr>
        <w:jc w:val="both"/>
        <w:rPr>
          <w:rFonts w:ascii="Arial" w:hAnsi="Arial" w:cs="Arial"/>
          <w:sz w:val="20"/>
          <w:szCs w:val="22"/>
          <w:lang w:eastAsia="sl-SI"/>
        </w:rPr>
      </w:pPr>
    </w:p>
    <w:p w:rsidR="00D91D1F" w:rsidRPr="00E564A6" w:rsidRDefault="00D91D1F" w:rsidP="00D91D1F">
      <w:pPr>
        <w:jc w:val="both"/>
        <w:rPr>
          <w:rFonts w:ascii="Arial" w:hAnsi="Arial" w:cs="Arial"/>
          <w:sz w:val="20"/>
          <w:szCs w:val="22"/>
          <w:lang w:eastAsia="sl-SI"/>
        </w:rPr>
      </w:pPr>
      <w:r w:rsidRPr="00E564A6">
        <w:rPr>
          <w:rFonts w:ascii="Arial" w:hAnsi="Arial" w:cs="Arial"/>
          <w:sz w:val="20"/>
          <w:szCs w:val="22"/>
          <w:lang w:eastAsia="sl-SI"/>
        </w:rPr>
        <w:t>Pri pripravi načrtov je potrebno slediti finančnemu načrtu, ki je naveden v tabelah 5-5 in 5-6.</w:t>
      </w:r>
    </w:p>
    <w:p w:rsidR="00D91D1F" w:rsidRPr="00E564A6" w:rsidRDefault="00D91D1F" w:rsidP="00D91D1F">
      <w:pPr>
        <w:jc w:val="both"/>
        <w:rPr>
          <w:rFonts w:ascii="Arial" w:hAnsi="Arial" w:cs="Arial"/>
          <w:sz w:val="20"/>
          <w:szCs w:val="22"/>
          <w:lang w:eastAsia="sl-SI"/>
        </w:rPr>
      </w:pPr>
    </w:p>
    <w:p w:rsidR="00D91D1F" w:rsidRPr="00E564A6" w:rsidRDefault="00D91D1F" w:rsidP="00D91D1F">
      <w:pPr>
        <w:jc w:val="both"/>
        <w:rPr>
          <w:rFonts w:ascii="Arial" w:hAnsi="Arial" w:cs="Arial"/>
          <w:sz w:val="20"/>
          <w:szCs w:val="22"/>
          <w:lang w:eastAsia="sl-SI"/>
        </w:rPr>
      </w:pPr>
      <w:r w:rsidRPr="00E564A6">
        <w:rPr>
          <w:rFonts w:ascii="Arial" w:hAnsi="Arial" w:cs="Arial"/>
          <w:sz w:val="20"/>
          <w:szCs w:val="22"/>
          <w:lang w:eastAsia="sl-SI"/>
        </w:rPr>
        <w:t>Pri pripravi in v postopku izdelave investicijske dokumentacije in pri sprejemanju odločitev o investicijah pa je obveznost upoštevanja metodologije, ki je predpisana v Uredbi o enotni metodologiji za pripravo in obravnavo investicijske dokumentacije na področju javne železniške infrastrukture (Uradni list RS, št. 6/2008), ki se uporablja za ugotavljanje prednosti in slabosti posameznih predlogov projektov oziroma pri odločanju o izbiri izvedljivih projektov, katerih rezultati bodo prispevali k razvoju javne železniške infrastrukture. Navedena uredba v prilogah opredeljuje elemente posameznih osnovnih meril in njihov razpon za investicije na glavnih in regionalnih progah.</w:t>
      </w:r>
    </w:p>
    <w:p w:rsidR="00D91D1F" w:rsidRPr="00E564A6" w:rsidRDefault="00D91D1F" w:rsidP="00D91D1F">
      <w:pPr>
        <w:jc w:val="both"/>
        <w:rPr>
          <w:rFonts w:ascii="Arial" w:hAnsi="Arial" w:cs="Arial"/>
          <w:sz w:val="20"/>
          <w:szCs w:val="22"/>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lastRenderedPageBreak/>
        <w:t>Nacionalni program zajema na področju železnic vrsto ukrepov, del ukrepov pa je potrebno pripraviti tudi v povezavi z ukrepi na drugih podsistemih (ceste, trajnostna mobilnost,…). Aktivnosti za pripravo, zajemajo izdelavo študij upravičenosti oz. strokovnih podlag in projektne oz. investicijske dokumentacije, kar je osnova za ustrezno načrtovanje izvedbenih ukrepov na JŽI.</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Kratkoročno in srednjeročno je potrebno prioritetno pripraviti in izvesti aktivnosti:</w:t>
      </w:r>
      <w:r w:rsidRPr="00E564A6">
        <w:rPr>
          <w:rFonts w:ascii="Arial" w:hAnsi="Arial" w:cs="Arial"/>
          <w:sz w:val="20"/>
          <w:szCs w:val="22"/>
          <w:lang w:eastAsia="sl-SI"/>
        </w:rPr>
        <w:tab/>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preučiti obstoječe ali izdelati nove strokovne podlage in projektno ter investicijsko dokumentacijo za posamezne aktivnosti (dokumentacija za investicije, ki so potrebne do leta 2030). Pri pripravi je potrebno upoštevati postopno odpravljanje ozkih grl na vseh segmentih (podsistemih) železnic, pri čemer je potrebno slediti načelu postopnega povečevanja zmogljivosti glede na potrebe. Prioritetna je študija za povečanje prepustnosti infrastrukture in zagotavljanje TEN-T standardov na slovenskem koridorskem železniškem omrežju. Potrebno je dopolniti obstoječo ali izdelati novo projektno dokumentacijo, študije upravičenosti oz. investicijsko dokumentacijo za celotno jedrno TEN-T omrežje za doseganje standardov določenih v Uredbi TEN-T do leta 2030 (vključno z dopustnimi utemeljitvami glede odmikov posameznih tehničnih parametrov),</w:t>
      </w:r>
      <w:r w:rsidRPr="004D661A">
        <w:rPr>
          <w:rFonts w:ascii="Arial" w:hAnsi="Arial" w:cs="Arial"/>
          <w:sz w:val="20"/>
          <w:szCs w:val="20"/>
        </w:rPr>
        <w:tab/>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dokončati pripravo dokumentacije in izvesti ključne projekte (denimo projekt nadgradnje proge Maribor–Šentilj, projekt nadgradnje Zidani Most–Celje, projekt vozlišča Pragersko, Gorenjska proga, …); v fazi izdelave dokumentacije se predvidoma loči ukrepe glede na možnosti izvedbe po VDJK ali DPN,</w:t>
      </w:r>
      <w:r w:rsidRPr="004D661A">
        <w:rPr>
          <w:rFonts w:ascii="Arial" w:hAnsi="Arial" w:cs="Arial"/>
          <w:sz w:val="20"/>
          <w:szCs w:val="20"/>
        </w:rPr>
        <w:tab/>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dokončati pripravo modela financiranja z možnostjo vključitve JZP in eventualna sklenitev partnerstva glede gradnje drugega tira Divača–Koper in investicijo tudi izvesti,</w:t>
      </w:r>
      <w:r w:rsidRPr="004D661A">
        <w:rPr>
          <w:rFonts w:ascii="Arial" w:hAnsi="Arial" w:cs="Arial"/>
          <w:sz w:val="20"/>
          <w:szCs w:val="20"/>
        </w:rPr>
        <w:tab/>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izdelati načrte aktivnosti: uvedbe sistema ETCS oz. ERTMS, sistema napetosti vozne mreže, elektrificiranosti regionalnih prog, prioritet reševanja NPr-jev, metodologije izračuna uporabnine, optimizacija organizacijske strukture železniškega sistema,</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pripraviti študije in projektno dokumentacijo za povečano vlogo železnice v javnem potniškem prometu (denimo ukrepi na progovnih odsekih: Ljubljana–Kranj, Ljubljana–Kamnik, Ljubljana–Grosuplje, Grosuplje–Kočevje) ter povezava železniškega sistema z npr. P+R, kolesarskim omrežjem …),</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zagotoviti dokumentacijo za srednjeročne rešitve glede razbremenitve ljubljanskega železniškega vozlišča (Tivolski lok in nadgradnja postaje Ljubljana, regionalne povezave proti Kamniku, proti Grosuplju…).</w:t>
      </w:r>
    </w:p>
    <w:p w:rsidR="00D91D1F" w:rsidRPr="00D91D1F" w:rsidRDefault="00D91D1F" w:rsidP="00D91D1F">
      <w:pPr>
        <w:suppressAutoHyphens w:val="0"/>
        <w:autoSpaceDE w:val="0"/>
        <w:autoSpaceDN w:val="0"/>
        <w:adjustRightInd w:val="0"/>
        <w:jc w:val="both"/>
        <w:rPr>
          <w:rFonts w:ascii="Arial" w:hAnsi="Arial" w:cs="Arial"/>
          <w:szCs w:val="22"/>
          <w:lang w:eastAsia="sl-SI"/>
        </w:rPr>
      </w:pPr>
    </w:p>
    <w:p w:rsidR="00D91D1F" w:rsidRPr="00D91D1F" w:rsidRDefault="00D91D1F" w:rsidP="001B0A14">
      <w:pPr>
        <w:pStyle w:val="Naslov2"/>
        <w:numPr>
          <w:ilvl w:val="1"/>
          <w:numId w:val="20"/>
        </w:numPr>
        <w:sectPr w:rsidR="00D91D1F" w:rsidRPr="00D91D1F" w:rsidSect="00BF1663">
          <w:pgSz w:w="11906" w:h="16838"/>
          <w:pgMar w:top="1417" w:right="1417" w:bottom="1417" w:left="1417" w:header="708" w:footer="708" w:gutter="0"/>
          <w:cols w:space="708"/>
          <w:docGrid w:linePitch="360"/>
        </w:sectPr>
      </w:pPr>
      <w:bookmarkStart w:id="62" w:name="_Toc427586082"/>
      <w:bookmarkStart w:id="63" w:name="_Toc427586238"/>
      <w:bookmarkStart w:id="64" w:name="_Toc427586292"/>
      <w:bookmarkStart w:id="65" w:name="_Toc427586083"/>
      <w:bookmarkStart w:id="66" w:name="_Toc427586239"/>
      <w:bookmarkStart w:id="67" w:name="_Toc427586293"/>
      <w:bookmarkStart w:id="68" w:name="_Toc427586084"/>
      <w:bookmarkStart w:id="69" w:name="_Toc427586240"/>
      <w:bookmarkStart w:id="70" w:name="_Toc427586294"/>
      <w:bookmarkStart w:id="71" w:name="_Toc443029069"/>
      <w:bookmarkEnd w:id="62"/>
      <w:bookmarkEnd w:id="63"/>
      <w:bookmarkEnd w:id="64"/>
      <w:bookmarkEnd w:id="65"/>
      <w:bookmarkEnd w:id="66"/>
      <w:bookmarkEnd w:id="67"/>
      <w:bookmarkEnd w:id="68"/>
      <w:bookmarkEnd w:id="69"/>
      <w:bookmarkEnd w:id="70"/>
    </w:p>
    <w:p w:rsidR="00D91D1F" w:rsidRPr="00E564A6" w:rsidRDefault="00E706C0" w:rsidP="00E706C0">
      <w:pPr>
        <w:pStyle w:val="Naslov2"/>
        <w:ind w:left="567" w:hanging="567"/>
      </w:pPr>
      <w:bookmarkStart w:id="72" w:name="_Toc456688583"/>
      <w:r>
        <w:lastRenderedPageBreak/>
        <w:t>5.3</w:t>
      </w:r>
      <w:r>
        <w:tab/>
      </w:r>
      <w:r w:rsidR="00D91D1F" w:rsidRPr="00936357">
        <w:t>Trajnostna</w:t>
      </w:r>
      <w:r w:rsidR="00D91D1F" w:rsidRPr="00E564A6">
        <w:t xml:space="preserve"> mobilnost</w:t>
      </w:r>
      <w:bookmarkEnd w:id="71"/>
      <w:bookmarkEnd w:id="72"/>
    </w:p>
    <w:p w:rsidR="00D91D1F" w:rsidRPr="00E564A6" w:rsidRDefault="00D91D1F" w:rsidP="00D91D1F">
      <w:pPr>
        <w:suppressAutoHyphens w:val="0"/>
        <w:autoSpaceDE w:val="0"/>
        <w:autoSpaceDN w:val="0"/>
        <w:adjustRightInd w:val="0"/>
        <w:jc w:val="both"/>
        <w:rPr>
          <w:rFonts w:ascii="Arial" w:hAnsi="Arial" w:cs="Arial"/>
          <w:sz w:val="20"/>
          <w:szCs w:val="20"/>
          <w:lang w:eastAsia="sl-SI"/>
        </w:rPr>
      </w:pPr>
    </w:p>
    <w:p w:rsidR="00D91D1F" w:rsidRPr="00E564A6" w:rsidRDefault="00D91D1F" w:rsidP="00D91D1F">
      <w:pPr>
        <w:suppressAutoHyphens w:val="0"/>
        <w:autoSpaceDE w:val="0"/>
        <w:autoSpaceDN w:val="0"/>
        <w:adjustRightInd w:val="0"/>
        <w:jc w:val="both"/>
        <w:rPr>
          <w:rFonts w:ascii="Arial" w:hAnsi="Arial" w:cs="Arial"/>
          <w:sz w:val="20"/>
          <w:szCs w:val="20"/>
          <w:lang w:eastAsia="sl-SI"/>
        </w:rPr>
      </w:pPr>
      <w:r w:rsidRPr="00E564A6">
        <w:rPr>
          <w:rFonts w:ascii="Arial" w:hAnsi="Arial" w:cs="Arial"/>
          <w:sz w:val="20"/>
          <w:szCs w:val="20"/>
        </w:rPr>
        <w:t>Tabela 5</w:t>
      </w:r>
      <w:r w:rsidRPr="00E564A6">
        <w:rPr>
          <w:rFonts w:ascii="Arial" w:hAnsi="Arial" w:cs="Arial"/>
          <w:sz w:val="20"/>
          <w:szCs w:val="20"/>
        </w:rPr>
        <w:noBreakHyphen/>
        <w:t>7</w:t>
      </w:r>
      <w:r w:rsidRPr="00E564A6">
        <w:rPr>
          <w:rFonts w:ascii="Arial" w:hAnsi="Arial" w:cs="Arial"/>
          <w:sz w:val="20"/>
          <w:szCs w:val="20"/>
          <w:lang w:eastAsia="sl-SI"/>
        </w:rPr>
        <w:t>: Predvidena dinamika vlaganj v investicije, trajnostna mobilnost, v mio EUR</w:t>
      </w:r>
    </w:p>
    <w:tbl>
      <w:tblPr>
        <w:tblW w:w="13840" w:type="dxa"/>
        <w:tblInd w:w="55" w:type="dxa"/>
        <w:tblCellMar>
          <w:left w:w="70" w:type="dxa"/>
          <w:right w:w="70" w:type="dxa"/>
        </w:tblCellMar>
        <w:tblLook w:val="04A0" w:firstRow="1" w:lastRow="0" w:firstColumn="1" w:lastColumn="0" w:noHBand="0" w:noVBand="1"/>
      </w:tblPr>
      <w:tblGrid>
        <w:gridCol w:w="460"/>
        <w:gridCol w:w="4120"/>
        <w:gridCol w:w="960"/>
        <w:gridCol w:w="960"/>
        <w:gridCol w:w="960"/>
        <w:gridCol w:w="960"/>
        <w:gridCol w:w="960"/>
        <w:gridCol w:w="960"/>
        <w:gridCol w:w="1020"/>
        <w:gridCol w:w="1240"/>
        <w:gridCol w:w="1240"/>
      </w:tblGrid>
      <w:tr w:rsidR="00D91D1F" w:rsidRPr="00D91D1F" w:rsidTr="00BF1663">
        <w:trPr>
          <w:trHeight w:val="420"/>
        </w:trPr>
        <w:tc>
          <w:tcPr>
            <w:tcW w:w="4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 </w:t>
            </w:r>
          </w:p>
        </w:tc>
        <w:tc>
          <w:tcPr>
            <w:tcW w:w="412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rPr>
                <w:rFonts w:ascii="Arial" w:hAnsi="Arial" w:cs="Arial"/>
                <w:b/>
                <w:bCs/>
                <w:sz w:val="16"/>
                <w:szCs w:val="16"/>
                <w:lang w:eastAsia="sl-SI"/>
              </w:rPr>
            </w:pPr>
            <w:r w:rsidRPr="00D91D1F">
              <w:rPr>
                <w:rFonts w:ascii="Arial" w:hAnsi="Arial" w:cs="Arial"/>
                <w:b/>
                <w:bCs/>
                <w:sz w:val="16"/>
                <w:szCs w:val="16"/>
                <w:lang w:eastAsia="sl-SI"/>
              </w:rPr>
              <w:t>Trajnostna mobilnost</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2016</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2017</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2018</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2019</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2020</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2021</w:t>
            </w:r>
          </w:p>
        </w:tc>
        <w:tc>
          <w:tcPr>
            <w:tcW w:w="102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2022</w:t>
            </w:r>
          </w:p>
        </w:tc>
        <w:tc>
          <w:tcPr>
            <w:tcW w:w="124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Skupaj 2016-2022</w:t>
            </w:r>
          </w:p>
        </w:tc>
        <w:tc>
          <w:tcPr>
            <w:tcW w:w="124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Skupaj 2023-2030</w:t>
            </w:r>
          </w:p>
        </w:tc>
      </w:tr>
      <w:tr w:rsidR="00D91D1F" w:rsidRPr="00D91D1F" w:rsidTr="00BF1663">
        <w:trPr>
          <w:trHeight w:val="210"/>
        </w:trPr>
        <w:tc>
          <w:tcPr>
            <w:tcW w:w="460" w:type="dxa"/>
            <w:tcBorders>
              <w:top w:val="nil"/>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w:t>
            </w:r>
          </w:p>
        </w:tc>
        <w:tc>
          <w:tcPr>
            <w:tcW w:w="412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rPr>
                <w:rFonts w:ascii="Arial" w:hAnsi="Arial" w:cs="Arial"/>
                <w:sz w:val="16"/>
                <w:szCs w:val="16"/>
                <w:lang w:eastAsia="sl-SI"/>
              </w:rPr>
            </w:pPr>
            <w:r w:rsidRPr="00D91D1F">
              <w:rPr>
                <w:rFonts w:ascii="Arial" w:hAnsi="Arial" w:cs="Arial"/>
                <w:sz w:val="16"/>
                <w:szCs w:val="16"/>
                <w:lang w:eastAsia="sl-SI"/>
              </w:rPr>
              <w:t>priprava</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0,92</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0,32</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0,02</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0,01</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0,01</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c>
          <w:tcPr>
            <w:tcW w:w="102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0,05</w:t>
            </w:r>
          </w:p>
        </w:tc>
        <w:tc>
          <w:tcPr>
            <w:tcW w:w="124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1,33</w:t>
            </w:r>
          </w:p>
        </w:tc>
        <w:tc>
          <w:tcPr>
            <w:tcW w:w="124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0,15</w:t>
            </w:r>
          </w:p>
        </w:tc>
      </w:tr>
      <w:tr w:rsidR="00D91D1F" w:rsidRPr="00D91D1F" w:rsidTr="00BF1663">
        <w:trPr>
          <w:trHeight w:val="210"/>
        </w:trPr>
        <w:tc>
          <w:tcPr>
            <w:tcW w:w="460" w:type="dxa"/>
            <w:tcBorders>
              <w:top w:val="nil"/>
              <w:left w:val="single" w:sz="4" w:space="0" w:color="auto"/>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1.1</w:t>
            </w:r>
          </w:p>
        </w:tc>
        <w:tc>
          <w:tcPr>
            <w:tcW w:w="412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CA75C0">
            <w:pPr>
              <w:suppressAutoHyphens w:val="0"/>
              <w:ind w:firstLineChars="300" w:firstLine="480"/>
              <w:rPr>
                <w:rFonts w:ascii="Arial" w:hAnsi="Arial" w:cs="Arial"/>
                <w:sz w:val="16"/>
                <w:szCs w:val="16"/>
                <w:lang w:eastAsia="sl-SI"/>
              </w:rPr>
            </w:pPr>
            <w:r w:rsidRPr="00D91D1F">
              <w:rPr>
                <w:rFonts w:ascii="Arial" w:hAnsi="Arial" w:cs="Arial"/>
                <w:sz w:val="16"/>
                <w:szCs w:val="16"/>
                <w:lang w:eastAsia="sl-SI"/>
              </w:rPr>
              <w:t>MZI</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0,90</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0,30</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0,01</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c>
          <w:tcPr>
            <w:tcW w:w="102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0,05</w:t>
            </w:r>
          </w:p>
        </w:tc>
        <w:tc>
          <w:tcPr>
            <w:tcW w:w="124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1,26</w:t>
            </w:r>
          </w:p>
        </w:tc>
        <w:tc>
          <w:tcPr>
            <w:tcW w:w="124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0,15</w:t>
            </w:r>
          </w:p>
        </w:tc>
      </w:tr>
      <w:tr w:rsidR="00D91D1F" w:rsidRPr="00D91D1F" w:rsidTr="00BF1663">
        <w:trPr>
          <w:trHeight w:val="210"/>
        </w:trPr>
        <w:tc>
          <w:tcPr>
            <w:tcW w:w="460" w:type="dxa"/>
            <w:tcBorders>
              <w:top w:val="nil"/>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1.2</w:t>
            </w:r>
          </w:p>
        </w:tc>
        <w:tc>
          <w:tcPr>
            <w:tcW w:w="412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CA75C0">
            <w:pPr>
              <w:suppressAutoHyphens w:val="0"/>
              <w:ind w:firstLineChars="300" w:firstLine="480"/>
              <w:rPr>
                <w:rFonts w:ascii="Arial" w:hAnsi="Arial" w:cs="Arial"/>
                <w:sz w:val="16"/>
                <w:szCs w:val="16"/>
                <w:lang w:eastAsia="sl-SI"/>
              </w:rPr>
            </w:pPr>
            <w:r w:rsidRPr="00D91D1F">
              <w:rPr>
                <w:rFonts w:ascii="Arial" w:hAnsi="Arial" w:cs="Arial"/>
                <w:sz w:val="16"/>
                <w:szCs w:val="16"/>
                <w:lang w:eastAsia="sl-SI"/>
              </w:rPr>
              <w:t>Občine</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0,01</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0,01</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0,01</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0,01</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0,01</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c>
          <w:tcPr>
            <w:tcW w:w="102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c>
          <w:tcPr>
            <w:tcW w:w="124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0,07</w:t>
            </w:r>
          </w:p>
        </w:tc>
        <w:tc>
          <w:tcPr>
            <w:tcW w:w="124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r>
      <w:tr w:rsidR="00D91D1F" w:rsidRPr="00D91D1F" w:rsidTr="00BF1663">
        <w:trPr>
          <w:trHeight w:val="210"/>
        </w:trPr>
        <w:tc>
          <w:tcPr>
            <w:tcW w:w="460" w:type="dxa"/>
            <w:tcBorders>
              <w:top w:val="nil"/>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w:t>
            </w:r>
          </w:p>
        </w:tc>
        <w:tc>
          <w:tcPr>
            <w:tcW w:w="412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rPr>
                <w:rFonts w:ascii="Arial" w:hAnsi="Arial" w:cs="Arial"/>
                <w:sz w:val="16"/>
                <w:szCs w:val="16"/>
                <w:lang w:eastAsia="sl-SI"/>
              </w:rPr>
            </w:pPr>
            <w:r w:rsidRPr="00D91D1F">
              <w:rPr>
                <w:rFonts w:ascii="Arial" w:hAnsi="Arial" w:cs="Arial"/>
                <w:sz w:val="16"/>
                <w:szCs w:val="16"/>
                <w:lang w:eastAsia="sl-SI"/>
              </w:rPr>
              <w:t>izvedba</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9,56</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23,75</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40,36</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56,49</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37,36</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22,40</w:t>
            </w:r>
          </w:p>
        </w:tc>
        <w:tc>
          <w:tcPr>
            <w:tcW w:w="102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22,40</w:t>
            </w:r>
          </w:p>
        </w:tc>
        <w:tc>
          <w:tcPr>
            <w:tcW w:w="124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212,32</w:t>
            </w:r>
          </w:p>
        </w:tc>
        <w:tc>
          <w:tcPr>
            <w:tcW w:w="124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44,93</w:t>
            </w:r>
          </w:p>
        </w:tc>
      </w:tr>
      <w:tr w:rsidR="00D91D1F" w:rsidRPr="00D91D1F" w:rsidTr="00BF1663">
        <w:trPr>
          <w:trHeight w:val="210"/>
        </w:trPr>
        <w:tc>
          <w:tcPr>
            <w:tcW w:w="460" w:type="dxa"/>
            <w:tcBorders>
              <w:top w:val="nil"/>
              <w:left w:val="single" w:sz="4" w:space="0" w:color="auto"/>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2.1</w:t>
            </w:r>
          </w:p>
        </w:tc>
        <w:tc>
          <w:tcPr>
            <w:tcW w:w="412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CA75C0">
            <w:pPr>
              <w:suppressAutoHyphens w:val="0"/>
              <w:ind w:firstLineChars="300" w:firstLine="480"/>
              <w:rPr>
                <w:rFonts w:ascii="Arial" w:hAnsi="Arial" w:cs="Arial"/>
                <w:sz w:val="16"/>
                <w:szCs w:val="16"/>
                <w:lang w:eastAsia="sl-SI"/>
              </w:rPr>
            </w:pPr>
            <w:r w:rsidRPr="00D91D1F">
              <w:rPr>
                <w:rFonts w:ascii="Arial" w:hAnsi="Arial" w:cs="Arial"/>
                <w:sz w:val="16"/>
                <w:szCs w:val="16"/>
                <w:lang w:eastAsia="sl-SI"/>
              </w:rPr>
              <w:t>MZI</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9,56</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16,25</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33,36</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49,49</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31,86</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22,40</w:t>
            </w:r>
          </w:p>
        </w:tc>
        <w:tc>
          <w:tcPr>
            <w:tcW w:w="102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22,40</w:t>
            </w:r>
          </w:p>
        </w:tc>
        <w:tc>
          <w:tcPr>
            <w:tcW w:w="124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185,32</w:t>
            </w:r>
          </w:p>
        </w:tc>
        <w:tc>
          <w:tcPr>
            <w:tcW w:w="124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44,93</w:t>
            </w:r>
          </w:p>
        </w:tc>
      </w:tr>
      <w:tr w:rsidR="00D91D1F" w:rsidRPr="00D91D1F" w:rsidTr="00BF1663">
        <w:trPr>
          <w:trHeight w:val="210"/>
        </w:trPr>
        <w:tc>
          <w:tcPr>
            <w:tcW w:w="460" w:type="dxa"/>
            <w:tcBorders>
              <w:top w:val="nil"/>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2.2</w:t>
            </w:r>
          </w:p>
        </w:tc>
        <w:tc>
          <w:tcPr>
            <w:tcW w:w="412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CA75C0">
            <w:pPr>
              <w:suppressAutoHyphens w:val="0"/>
              <w:ind w:firstLineChars="300" w:firstLine="480"/>
              <w:rPr>
                <w:rFonts w:ascii="Arial" w:hAnsi="Arial" w:cs="Arial"/>
                <w:sz w:val="16"/>
                <w:szCs w:val="16"/>
                <w:lang w:eastAsia="sl-SI"/>
              </w:rPr>
            </w:pPr>
            <w:r w:rsidRPr="00D91D1F">
              <w:rPr>
                <w:rFonts w:ascii="Arial" w:hAnsi="Arial" w:cs="Arial"/>
                <w:sz w:val="16"/>
                <w:szCs w:val="16"/>
                <w:lang w:eastAsia="sl-SI"/>
              </w:rPr>
              <w:t>Občine</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7,50</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7,00</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7,00</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5,50</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c>
          <w:tcPr>
            <w:tcW w:w="102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c>
          <w:tcPr>
            <w:tcW w:w="124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27,00</w:t>
            </w:r>
          </w:p>
        </w:tc>
        <w:tc>
          <w:tcPr>
            <w:tcW w:w="124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r>
      <w:tr w:rsidR="00D91D1F" w:rsidRPr="00D91D1F" w:rsidTr="00BF1663">
        <w:trPr>
          <w:trHeight w:val="210"/>
        </w:trPr>
        <w:tc>
          <w:tcPr>
            <w:tcW w:w="460" w:type="dxa"/>
            <w:tcBorders>
              <w:top w:val="nil"/>
              <w:left w:val="single" w:sz="4" w:space="0" w:color="auto"/>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3.</w:t>
            </w:r>
          </w:p>
        </w:tc>
        <w:tc>
          <w:tcPr>
            <w:tcW w:w="412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rPr>
                <w:rFonts w:ascii="Arial" w:hAnsi="Arial" w:cs="Arial"/>
                <w:sz w:val="16"/>
                <w:szCs w:val="16"/>
                <w:lang w:eastAsia="sl-SI"/>
              </w:rPr>
            </w:pPr>
            <w:r w:rsidRPr="00D91D1F">
              <w:rPr>
                <w:rFonts w:ascii="Arial" w:hAnsi="Arial" w:cs="Arial"/>
                <w:sz w:val="16"/>
                <w:szCs w:val="16"/>
                <w:lang w:eastAsia="sl-SI"/>
              </w:rPr>
              <w:t>Skupaj MZI</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10,46</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16,56</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33,37</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49,49</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31,86</w:t>
            </w:r>
          </w:p>
        </w:tc>
        <w:tc>
          <w:tcPr>
            <w:tcW w:w="96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22,40</w:t>
            </w:r>
          </w:p>
        </w:tc>
        <w:tc>
          <w:tcPr>
            <w:tcW w:w="102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22,45</w:t>
            </w:r>
          </w:p>
        </w:tc>
        <w:tc>
          <w:tcPr>
            <w:tcW w:w="124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186,58</w:t>
            </w:r>
          </w:p>
        </w:tc>
        <w:tc>
          <w:tcPr>
            <w:tcW w:w="1240"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45,08</w:t>
            </w:r>
          </w:p>
        </w:tc>
      </w:tr>
      <w:tr w:rsidR="00D91D1F" w:rsidRPr="00D91D1F" w:rsidTr="00BF1663">
        <w:trPr>
          <w:trHeight w:val="210"/>
        </w:trPr>
        <w:tc>
          <w:tcPr>
            <w:tcW w:w="460" w:type="dxa"/>
            <w:tcBorders>
              <w:top w:val="nil"/>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w:t>
            </w:r>
          </w:p>
        </w:tc>
        <w:tc>
          <w:tcPr>
            <w:tcW w:w="412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rPr>
                <w:rFonts w:ascii="Arial" w:hAnsi="Arial" w:cs="Arial"/>
                <w:sz w:val="16"/>
                <w:szCs w:val="16"/>
                <w:lang w:eastAsia="sl-SI"/>
              </w:rPr>
            </w:pPr>
            <w:r w:rsidRPr="00D91D1F">
              <w:rPr>
                <w:rFonts w:ascii="Arial" w:hAnsi="Arial" w:cs="Arial"/>
                <w:sz w:val="16"/>
                <w:szCs w:val="16"/>
                <w:lang w:eastAsia="sl-SI"/>
              </w:rPr>
              <w:t>Skupaj Občine</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0,01</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7,51</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7,01</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7,01</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5,51</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c>
          <w:tcPr>
            <w:tcW w:w="102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c>
          <w:tcPr>
            <w:tcW w:w="124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27,07</w:t>
            </w:r>
          </w:p>
        </w:tc>
        <w:tc>
          <w:tcPr>
            <w:tcW w:w="124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r>
      <w:tr w:rsidR="00D91D1F" w:rsidRPr="00D91D1F" w:rsidTr="00BF1663">
        <w:trPr>
          <w:trHeight w:val="210"/>
        </w:trPr>
        <w:tc>
          <w:tcPr>
            <w:tcW w:w="460" w:type="dxa"/>
            <w:tcBorders>
              <w:top w:val="nil"/>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5.</w:t>
            </w:r>
          </w:p>
        </w:tc>
        <w:tc>
          <w:tcPr>
            <w:tcW w:w="412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rPr>
                <w:rFonts w:ascii="Arial" w:hAnsi="Arial" w:cs="Arial"/>
                <w:b/>
                <w:bCs/>
                <w:sz w:val="16"/>
                <w:szCs w:val="16"/>
                <w:lang w:eastAsia="sl-SI"/>
              </w:rPr>
            </w:pPr>
            <w:r w:rsidRPr="00D91D1F">
              <w:rPr>
                <w:rFonts w:ascii="Arial" w:hAnsi="Arial" w:cs="Arial"/>
                <w:b/>
                <w:bCs/>
                <w:sz w:val="16"/>
                <w:szCs w:val="16"/>
                <w:lang w:eastAsia="sl-SI"/>
              </w:rPr>
              <w:t>Skupaj vlaganja (3+4)</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10,48</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24,07</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40,38</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56,51</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37,37</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22,40</w:t>
            </w:r>
          </w:p>
        </w:tc>
        <w:tc>
          <w:tcPr>
            <w:tcW w:w="102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22,45</w:t>
            </w:r>
          </w:p>
        </w:tc>
        <w:tc>
          <w:tcPr>
            <w:tcW w:w="124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213,65</w:t>
            </w:r>
          </w:p>
        </w:tc>
        <w:tc>
          <w:tcPr>
            <w:tcW w:w="124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45,08</w:t>
            </w:r>
          </w:p>
        </w:tc>
      </w:tr>
    </w:tbl>
    <w:p w:rsidR="00D91D1F" w:rsidRPr="00D91D1F" w:rsidRDefault="00D91D1F" w:rsidP="00D91D1F">
      <w:pPr>
        <w:suppressAutoHyphens w:val="0"/>
        <w:autoSpaceDE w:val="0"/>
        <w:autoSpaceDN w:val="0"/>
        <w:adjustRightInd w:val="0"/>
        <w:jc w:val="both"/>
        <w:rPr>
          <w:rFonts w:ascii="Arial" w:hAnsi="Arial" w:cs="Arial"/>
          <w:szCs w:val="22"/>
          <w:lang w:eastAsia="sl-SI"/>
        </w:rPr>
      </w:pPr>
    </w:p>
    <w:p w:rsidR="00D91D1F" w:rsidRPr="00D91D1F" w:rsidRDefault="00D91D1F" w:rsidP="00D91D1F">
      <w:pPr>
        <w:suppressAutoHyphens w:val="0"/>
        <w:autoSpaceDE w:val="0"/>
        <w:autoSpaceDN w:val="0"/>
        <w:adjustRightInd w:val="0"/>
        <w:jc w:val="both"/>
        <w:rPr>
          <w:rFonts w:ascii="Arial" w:hAnsi="Arial" w:cs="Arial"/>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rPr>
        <w:t>Tabela 5</w:t>
      </w:r>
      <w:r w:rsidRPr="00E564A6">
        <w:rPr>
          <w:rFonts w:ascii="Arial" w:hAnsi="Arial" w:cs="Arial"/>
          <w:sz w:val="20"/>
        </w:rPr>
        <w:noBreakHyphen/>
        <w:t>8</w:t>
      </w:r>
      <w:r w:rsidRPr="00E564A6">
        <w:rPr>
          <w:rFonts w:ascii="Arial" w:hAnsi="Arial" w:cs="Arial"/>
          <w:sz w:val="20"/>
          <w:szCs w:val="22"/>
          <w:lang w:eastAsia="sl-SI"/>
        </w:rPr>
        <w:t>: Predvidena dinamika vlaganj za subvencije in kompenzacije, v mio EUR</w:t>
      </w:r>
    </w:p>
    <w:tbl>
      <w:tblPr>
        <w:tblW w:w="13380" w:type="dxa"/>
        <w:tblInd w:w="55" w:type="dxa"/>
        <w:tblCellMar>
          <w:left w:w="70" w:type="dxa"/>
          <w:right w:w="70" w:type="dxa"/>
        </w:tblCellMar>
        <w:tblLook w:val="04A0" w:firstRow="1" w:lastRow="0" w:firstColumn="1" w:lastColumn="0" w:noHBand="0" w:noVBand="1"/>
      </w:tblPr>
      <w:tblGrid>
        <w:gridCol w:w="4120"/>
        <w:gridCol w:w="960"/>
        <w:gridCol w:w="960"/>
        <w:gridCol w:w="960"/>
        <w:gridCol w:w="960"/>
        <w:gridCol w:w="960"/>
        <w:gridCol w:w="960"/>
        <w:gridCol w:w="1020"/>
        <w:gridCol w:w="1240"/>
        <w:gridCol w:w="1240"/>
      </w:tblGrid>
      <w:tr w:rsidR="00D91D1F" w:rsidRPr="00D91D1F" w:rsidTr="00BF1663">
        <w:trPr>
          <w:trHeight w:val="210"/>
        </w:trPr>
        <w:tc>
          <w:tcPr>
            <w:tcW w:w="41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suppressAutoHyphens w:val="0"/>
              <w:rPr>
                <w:rFonts w:ascii="Arial" w:hAnsi="Arial" w:cs="Arial"/>
                <w:b/>
                <w:bCs/>
                <w:sz w:val="16"/>
                <w:szCs w:val="16"/>
                <w:lang w:eastAsia="sl-SI"/>
              </w:rPr>
            </w:pPr>
            <w:r w:rsidRPr="00D91D1F">
              <w:rPr>
                <w:rFonts w:ascii="Arial" w:hAnsi="Arial" w:cs="Arial"/>
                <w:b/>
                <w:bCs/>
                <w:sz w:val="16"/>
                <w:szCs w:val="16"/>
                <w:lang w:eastAsia="sl-SI"/>
              </w:rPr>
              <w:t>Subvencije in kompenzacije</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2016</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2017</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2018</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2019</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2020</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2021</w:t>
            </w:r>
          </w:p>
        </w:tc>
        <w:tc>
          <w:tcPr>
            <w:tcW w:w="102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2022</w:t>
            </w:r>
          </w:p>
        </w:tc>
        <w:tc>
          <w:tcPr>
            <w:tcW w:w="124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Skupaj 2016-2022</w:t>
            </w:r>
          </w:p>
        </w:tc>
        <w:tc>
          <w:tcPr>
            <w:tcW w:w="1240"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Skupaj 2023-2030</w:t>
            </w:r>
          </w:p>
        </w:tc>
      </w:tr>
      <w:tr w:rsidR="00D91D1F" w:rsidRPr="00D91D1F" w:rsidTr="00BF1663">
        <w:trPr>
          <w:trHeight w:val="210"/>
        </w:trPr>
        <w:tc>
          <w:tcPr>
            <w:tcW w:w="4120" w:type="dxa"/>
            <w:tcBorders>
              <w:top w:val="nil"/>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rPr>
                <w:rFonts w:ascii="Arial" w:hAnsi="Arial" w:cs="Arial"/>
                <w:sz w:val="16"/>
                <w:szCs w:val="16"/>
              </w:rPr>
            </w:pPr>
            <w:r w:rsidRPr="00D91D1F">
              <w:rPr>
                <w:rFonts w:ascii="Arial" w:hAnsi="Arial" w:cs="Arial"/>
                <w:sz w:val="16"/>
                <w:szCs w:val="16"/>
              </w:rPr>
              <w:t>Subvencije in kompenzacije (avtobusni prevozi)</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60,00</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60,00</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60,00</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60,00</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60,00</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60,00</w:t>
            </w:r>
          </w:p>
        </w:tc>
        <w:tc>
          <w:tcPr>
            <w:tcW w:w="102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60,00</w:t>
            </w:r>
          </w:p>
        </w:tc>
        <w:tc>
          <w:tcPr>
            <w:tcW w:w="124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420,00</w:t>
            </w:r>
          </w:p>
        </w:tc>
        <w:tc>
          <w:tcPr>
            <w:tcW w:w="124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480,00</w:t>
            </w:r>
          </w:p>
        </w:tc>
      </w:tr>
      <w:tr w:rsidR="00D91D1F" w:rsidRPr="00D91D1F" w:rsidTr="00BF1663">
        <w:trPr>
          <w:trHeight w:val="210"/>
        </w:trPr>
        <w:tc>
          <w:tcPr>
            <w:tcW w:w="4120" w:type="dxa"/>
            <w:tcBorders>
              <w:top w:val="nil"/>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rPr>
                <w:rFonts w:ascii="Arial" w:hAnsi="Arial" w:cs="Arial"/>
                <w:sz w:val="16"/>
                <w:szCs w:val="16"/>
              </w:rPr>
            </w:pPr>
            <w:r w:rsidRPr="00D91D1F">
              <w:rPr>
                <w:rFonts w:ascii="Arial" w:hAnsi="Arial" w:cs="Arial"/>
                <w:sz w:val="16"/>
                <w:szCs w:val="16"/>
              </w:rPr>
              <w:t>Integriran sistem javnega potniškega prometa (železnice)</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45,00</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45,00</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61,00</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61,00</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61,00</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61,00</w:t>
            </w:r>
          </w:p>
        </w:tc>
        <w:tc>
          <w:tcPr>
            <w:tcW w:w="102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61,00</w:t>
            </w:r>
          </w:p>
        </w:tc>
        <w:tc>
          <w:tcPr>
            <w:tcW w:w="124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395,00</w:t>
            </w:r>
          </w:p>
        </w:tc>
        <w:tc>
          <w:tcPr>
            <w:tcW w:w="124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488,00</w:t>
            </w:r>
          </w:p>
        </w:tc>
      </w:tr>
      <w:tr w:rsidR="00D91D1F" w:rsidRPr="00D91D1F" w:rsidTr="00BF1663">
        <w:trPr>
          <w:trHeight w:val="420"/>
        </w:trPr>
        <w:tc>
          <w:tcPr>
            <w:tcW w:w="4120" w:type="dxa"/>
            <w:tcBorders>
              <w:top w:val="nil"/>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suppressAutoHyphens w:val="0"/>
              <w:rPr>
                <w:rFonts w:ascii="Arial" w:hAnsi="Arial" w:cs="Arial"/>
                <w:b/>
                <w:bCs/>
                <w:sz w:val="16"/>
                <w:szCs w:val="16"/>
                <w:lang w:eastAsia="sl-SI"/>
              </w:rPr>
            </w:pPr>
            <w:r w:rsidRPr="00D91D1F">
              <w:rPr>
                <w:rFonts w:ascii="Arial" w:hAnsi="Arial" w:cs="Arial"/>
                <w:b/>
                <w:bCs/>
                <w:sz w:val="16"/>
                <w:szCs w:val="16"/>
                <w:lang w:eastAsia="sl-SI"/>
              </w:rPr>
              <w:t>Skupaj subvencije in kompenzacije - vlaganja države</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105,00</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105,00</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121,00</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121,00</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121,00</w:t>
            </w:r>
          </w:p>
        </w:tc>
        <w:tc>
          <w:tcPr>
            <w:tcW w:w="96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121,00</w:t>
            </w:r>
          </w:p>
        </w:tc>
        <w:tc>
          <w:tcPr>
            <w:tcW w:w="102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121,00</w:t>
            </w:r>
          </w:p>
        </w:tc>
        <w:tc>
          <w:tcPr>
            <w:tcW w:w="124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815,00</w:t>
            </w:r>
          </w:p>
        </w:tc>
        <w:tc>
          <w:tcPr>
            <w:tcW w:w="1240"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968,00</w:t>
            </w:r>
          </w:p>
        </w:tc>
      </w:tr>
    </w:tbl>
    <w:p w:rsidR="00D91D1F" w:rsidRPr="00D91D1F" w:rsidRDefault="00D91D1F" w:rsidP="00D91D1F">
      <w:pPr>
        <w:suppressAutoHyphens w:val="0"/>
        <w:autoSpaceDE w:val="0"/>
        <w:autoSpaceDN w:val="0"/>
        <w:adjustRightInd w:val="0"/>
        <w:jc w:val="both"/>
        <w:rPr>
          <w:rFonts w:ascii="Arial" w:hAnsi="Arial" w:cs="Arial"/>
          <w:szCs w:val="22"/>
          <w:lang w:eastAsia="sl-SI"/>
        </w:rPr>
      </w:pPr>
    </w:p>
    <w:p w:rsidR="00D91D1F" w:rsidRPr="00D91D1F" w:rsidRDefault="00D91D1F" w:rsidP="00D91D1F">
      <w:pPr>
        <w:suppressAutoHyphens w:val="0"/>
        <w:autoSpaceDE w:val="0"/>
        <w:autoSpaceDN w:val="0"/>
        <w:adjustRightInd w:val="0"/>
        <w:jc w:val="both"/>
        <w:rPr>
          <w:rFonts w:ascii="Arial" w:hAnsi="Arial" w:cs="Arial"/>
          <w:szCs w:val="22"/>
          <w:lang w:eastAsia="sl-SI"/>
        </w:rPr>
        <w:sectPr w:rsidR="00D91D1F" w:rsidRPr="00D91D1F" w:rsidSect="00BF1663">
          <w:pgSz w:w="16838" w:h="11906" w:orient="landscape"/>
          <w:pgMar w:top="1417" w:right="1417" w:bottom="1417" w:left="1417" w:header="708" w:footer="708" w:gutter="0"/>
          <w:cols w:space="708"/>
          <w:docGrid w:linePitch="360"/>
        </w:sectPr>
      </w:pPr>
    </w:p>
    <w:p w:rsidR="00D91D1F" w:rsidRPr="00E564A6" w:rsidRDefault="00D91D1F" w:rsidP="00D91D1F">
      <w:pPr>
        <w:suppressAutoHyphens w:val="0"/>
        <w:autoSpaceDE w:val="0"/>
        <w:autoSpaceDN w:val="0"/>
        <w:adjustRightInd w:val="0"/>
        <w:jc w:val="both"/>
        <w:rPr>
          <w:rFonts w:ascii="Arial" w:hAnsi="Arial" w:cs="Arial"/>
          <w:sz w:val="20"/>
          <w:szCs w:val="20"/>
          <w:lang w:eastAsia="sl-SI"/>
        </w:rPr>
      </w:pPr>
      <w:r w:rsidRPr="00E564A6">
        <w:rPr>
          <w:rFonts w:ascii="Arial" w:hAnsi="Arial" w:cs="Arial"/>
          <w:sz w:val="20"/>
          <w:szCs w:val="20"/>
          <w:lang w:eastAsia="sl-SI"/>
        </w:rPr>
        <w:lastRenderedPageBreak/>
        <w:t>Na področju trajnostne mobilnosti so predvidena vlaganja v obdobju 2016</w:t>
      </w:r>
      <w:r w:rsidRPr="00E564A6">
        <w:rPr>
          <w:rFonts w:ascii="Arial" w:hAnsi="Arial" w:cs="Arial"/>
          <w:sz w:val="20"/>
          <w:szCs w:val="20"/>
        </w:rPr>
        <w:t>–</w:t>
      </w:r>
      <w:r w:rsidRPr="00E564A6">
        <w:rPr>
          <w:rFonts w:ascii="Arial" w:hAnsi="Arial" w:cs="Arial"/>
          <w:sz w:val="20"/>
          <w:szCs w:val="20"/>
          <w:lang w:eastAsia="sl-SI"/>
        </w:rPr>
        <w:t>2022 v višini 213,65 mio EUR, od tega s strani države v višini 186,58 mio EUR ter za subvencije in kompenzacije v višini 815,00 mio EUR. V okviru trajnostne mobilnosti se predvideva s</w:t>
      </w:r>
      <w:r w:rsidRPr="00E564A6">
        <w:rPr>
          <w:rFonts w:ascii="Arial" w:hAnsi="Arial" w:cs="Arial"/>
          <w:sz w:val="20"/>
          <w:szCs w:val="20"/>
        </w:rPr>
        <w:t>ofinanciranje z EU sredstvi v ocenjeni višini 47 mio EUR.</w:t>
      </w:r>
    </w:p>
    <w:p w:rsidR="00D91D1F" w:rsidRPr="00E564A6" w:rsidRDefault="00D91D1F" w:rsidP="00D91D1F">
      <w:pPr>
        <w:suppressAutoHyphens w:val="0"/>
        <w:autoSpaceDE w:val="0"/>
        <w:autoSpaceDN w:val="0"/>
        <w:adjustRightInd w:val="0"/>
        <w:jc w:val="both"/>
        <w:rPr>
          <w:rFonts w:ascii="Arial" w:hAnsi="Arial" w:cs="Arial"/>
          <w:sz w:val="20"/>
          <w:szCs w:val="20"/>
          <w:lang w:eastAsia="sl-SI"/>
        </w:rPr>
      </w:pPr>
    </w:p>
    <w:p w:rsidR="00D91D1F" w:rsidRPr="00E564A6" w:rsidRDefault="00D91D1F" w:rsidP="00D91D1F">
      <w:pPr>
        <w:autoSpaceDE w:val="0"/>
        <w:autoSpaceDN w:val="0"/>
        <w:adjustRightInd w:val="0"/>
        <w:jc w:val="both"/>
        <w:rPr>
          <w:rFonts w:ascii="Arial" w:hAnsi="Arial" w:cs="Arial"/>
          <w:sz w:val="20"/>
          <w:szCs w:val="20"/>
          <w:lang w:eastAsia="sl-SI"/>
        </w:rPr>
      </w:pPr>
      <w:r w:rsidRPr="00E564A6">
        <w:rPr>
          <w:rFonts w:ascii="Arial" w:hAnsi="Arial" w:cs="Arial"/>
          <w:sz w:val="20"/>
          <w:szCs w:val="20"/>
          <w:lang w:eastAsia="sl-SI"/>
        </w:rPr>
        <w:t>Na področju trajnostne mobilnosti Nacionalni program predvideva vrsto ukrepov, s katerimi se poveča vloga javnega prometa v dnevnih migracijah. Del ukrepov je možno pripraviti samostojno, del pa v povezavi z ukrepi na drugih podsistemih (ceste, železnice). Aktivnosti za pripravo zajemajo izdelavo analiz stanja z načrti razvoja oz. analizo možnosti, strokovnih podlag in projektne dokumentacije.</w:t>
      </w:r>
    </w:p>
    <w:p w:rsidR="00D91D1F" w:rsidRPr="00E564A6" w:rsidRDefault="00D91D1F" w:rsidP="00D91D1F">
      <w:pPr>
        <w:autoSpaceDE w:val="0"/>
        <w:autoSpaceDN w:val="0"/>
        <w:adjustRightInd w:val="0"/>
        <w:jc w:val="both"/>
        <w:rPr>
          <w:rFonts w:ascii="Arial" w:hAnsi="Arial" w:cs="Arial"/>
          <w:sz w:val="20"/>
          <w:szCs w:val="20"/>
          <w:lang w:eastAsia="sl-SI"/>
        </w:rPr>
      </w:pPr>
    </w:p>
    <w:p w:rsidR="00D91D1F" w:rsidRPr="00E564A6" w:rsidRDefault="00D91D1F" w:rsidP="00D91D1F">
      <w:pPr>
        <w:autoSpaceDE w:val="0"/>
        <w:autoSpaceDN w:val="0"/>
        <w:adjustRightInd w:val="0"/>
        <w:jc w:val="both"/>
        <w:rPr>
          <w:rFonts w:ascii="Arial" w:hAnsi="Arial" w:cs="Arial"/>
          <w:sz w:val="20"/>
          <w:szCs w:val="20"/>
          <w:lang w:eastAsia="sl-SI"/>
        </w:rPr>
      </w:pPr>
      <w:r w:rsidRPr="00E564A6">
        <w:rPr>
          <w:rFonts w:ascii="Arial" w:hAnsi="Arial" w:cs="Arial"/>
          <w:sz w:val="20"/>
          <w:szCs w:val="20"/>
          <w:lang w:eastAsia="sl-SI"/>
        </w:rPr>
        <w:t xml:space="preserve">Nosilci aktivnosti izdelajo 6-letni načrt izvajanja aktivnosti za katere so zadolženi in so razvidne iz priloge Nacionalnega programa. Ministrstvo, pristojno za promet, 6-letni načrt izvajanja aktivnosti iz prilog Nacionalnega programa združi in uskladi z ostalimi področji prometne infrastrukture in ga kot 6-letni operativni načrt posreduje v potrditev Vladi RS. </w:t>
      </w:r>
    </w:p>
    <w:p w:rsidR="00D91D1F" w:rsidRPr="00E564A6" w:rsidRDefault="00D91D1F" w:rsidP="00D91D1F">
      <w:pPr>
        <w:autoSpaceDE w:val="0"/>
        <w:autoSpaceDN w:val="0"/>
        <w:adjustRightInd w:val="0"/>
        <w:jc w:val="both"/>
        <w:rPr>
          <w:rFonts w:ascii="Arial" w:hAnsi="Arial" w:cs="Arial"/>
          <w:sz w:val="20"/>
          <w:szCs w:val="20"/>
          <w:lang w:eastAsia="sl-SI"/>
        </w:rPr>
      </w:pPr>
    </w:p>
    <w:p w:rsidR="00D91D1F" w:rsidRPr="00E564A6" w:rsidRDefault="00D91D1F" w:rsidP="00D91D1F">
      <w:pPr>
        <w:autoSpaceDE w:val="0"/>
        <w:autoSpaceDN w:val="0"/>
        <w:adjustRightInd w:val="0"/>
        <w:jc w:val="both"/>
        <w:rPr>
          <w:rFonts w:ascii="Arial" w:hAnsi="Arial" w:cs="Arial"/>
          <w:i/>
          <w:sz w:val="20"/>
          <w:szCs w:val="20"/>
          <w:lang w:eastAsia="sl-SI"/>
        </w:rPr>
      </w:pPr>
      <w:r w:rsidRPr="00E564A6">
        <w:rPr>
          <w:rFonts w:ascii="Arial" w:hAnsi="Arial" w:cs="Arial"/>
          <w:sz w:val="20"/>
          <w:szCs w:val="20"/>
          <w:lang w:eastAsia="sl-SI"/>
        </w:rPr>
        <w:t>Kratkoročno in srednjeročno je potrebno prioritetno pripraviti in izvesti naslednje aktivnosti:</w:t>
      </w:r>
    </w:p>
    <w:p w:rsidR="00D91D1F" w:rsidRPr="00E564A6" w:rsidRDefault="00D91D1F" w:rsidP="004D661A">
      <w:pPr>
        <w:numPr>
          <w:ilvl w:val="0"/>
          <w:numId w:val="11"/>
        </w:numPr>
        <w:ind w:left="426" w:hanging="349"/>
        <w:jc w:val="both"/>
        <w:rPr>
          <w:rFonts w:ascii="Arial" w:hAnsi="Arial" w:cs="Arial"/>
          <w:sz w:val="20"/>
          <w:szCs w:val="20"/>
        </w:rPr>
      </w:pPr>
      <w:r w:rsidRPr="00E564A6">
        <w:rPr>
          <w:rFonts w:ascii="Arial" w:hAnsi="Arial" w:cs="Arial"/>
          <w:sz w:val="20"/>
          <w:szCs w:val="20"/>
        </w:rPr>
        <w:t>izdelati dokumentacijo, ki bo zagotovila večjo vlogo žleznice v JPP (predvsem področje Ljubljane s preureditvijo postaje in Maribora z ustreznim zaledjem),</w:t>
      </w:r>
    </w:p>
    <w:p w:rsidR="00D91D1F" w:rsidRPr="00E564A6" w:rsidRDefault="00D91D1F" w:rsidP="004D661A">
      <w:pPr>
        <w:numPr>
          <w:ilvl w:val="0"/>
          <w:numId w:val="11"/>
        </w:numPr>
        <w:ind w:left="426" w:hanging="349"/>
        <w:jc w:val="both"/>
        <w:rPr>
          <w:rFonts w:ascii="Arial" w:hAnsi="Arial" w:cs="Arial"/>
          <w:sz w:val="20"/>
          <w:szCs w:val="20"/>
        </w:rPr>
      </w:pPr>
      <w:r w:rsidRPr="00E564A6">
        <w:rPr>
          <w:rFonts w:ascii="Arial" w:hAnsi="Arial" w:cs="Arial"/>
          <w:sz w:val="20"/>
          <w:szCs w:val="20"/>
        </w:rPr>
        <w:t xml:space="preserve">izdelati celostne prometne strategije, urediti varne dostope do postaj in postajališč, sistem P+R, pločnike in kolesarsko infrastrukturo, izdelati strategije za spodbujanje hoje, </w:t>
      </w:r>
    </w:p>
    <w:p w:rsidR="00D91D1F" w:rsidRPr="00E564A6" w:rsidRDefault="00D91D1F" w:rsidP="004D661A">
      <w:pPr>
        <w:numPr>
          <w:ilvl w:val="0"/>
          <w:numId w:val="11"/>
        </w:numPr>
        <w:ind w:left="426" w:hanging="349"/>
        <w:jc w:val="both"/>
        <w:rPr>
          <w:rFonts w:ascii="Arial" w:hAnsi="Arial" w:cs="Arial"/>
          <w:sz w:val="20"/>
          <w:szCs w:val="20"/>
        </w:rPr>
      </w:pPr>
      <w:r w:rsidRPr="00E564A6">
        <w:rPr>
          <w:rFonts w:ascii="Arial" w:hAnsi="Arial" w:cs="Arial"/>
          <w:sz w:val="20"/>
          <w:szCs w:val="20"/>
        </w:rPr>
        <w:t xml:space="preserve">izdelati analizo stanja in razvojnih možnosti za povečanje intermodalnosti, tudi s poudarkom na večji rabi kolesarskega omrežja v povezavi z JPP, za razvoj kolesarskega omrežja je potrebno narediti tudi strateški načrt, </w:t>
      </w:r>
    </w:p>
    <w:p w:rsidR="00D91D1F" w:rsidRPr="00E564A6" w:rsidRDefault="00D91D1F" w:rsidP="004D661A">
      <w:pPr>
        <w:numPr>
          <w:ilvl w:val="0"/>
          <w:numId w:val="11"/>
        </w:numPr>
        <w:ind w:left="426" w:hanging="349"/>
        <w:jc w:val="both"/>
        <w:rPr>
          <w:rFonts w:ascii="Arial" w:hAnsi="Arial" w:cs="Arial"/>
          <w:sz w:val="20"/>
          <w:szCs w:val="20"/>
        </w:rPr>
      </w:pPr>
      <w:r w:rsidRPr="00E564A6">
        <w:rPr>
          <w:rFonts w:ascii="Arial" w:hAnsi="Arial" w:cs="Arial"/>
          <w:sz w:val="20"/>
          <w:szCs w:val="20"/>
        </w:rPr>
        <w:t>uvesti integrirano vozovnico (uvedba sistema in ustanovitev upravljavca), posodobitev storitev javnega potniškega prometa, zagotoviti informacije o prometu,</w:t>
      </w:r>
    </w:p>
    <w:p w:rsidR="00D91D1F" w:rsidRPr="00E564A6" w:rsidRDefault="00D91D1F" w:rsidP="004D661A">
      <w:pPr>
        <w:numPr>
          <w:ilvl w:val="0"/>
          <w:numId w:val="11"/>
        </w:numPr>
        <w:ind w:left="426" w:hanging="349"/>
        <w:jc w:val="both"/>
        <w:rPr>
          <w:rFonts w:ascii="Arial" w:hAnsi="Arial" w:cs="Arial"/>
          <w:sz w:val="20"/>
          <w:szCs w:val="20"/>
        </w:rPr>
      </w:pPr>
      <w:r w:rsidRPr="00E564A6">
        <w:rPr>
          <w:rFonts w:ascii="Arial" w:hAnsi="Arial" w:cs="Arial"/>
          <w:sz w:val="20"/>
          <w:szCs w:val="20"/>
        </w:rPr>
        <w:t>uskladiti in prilagoditi vozne rede med posameznimi vrstami prevoza (železniški, javni linijski medkrajevni in mestni prevoz potnikov).</w:t>
      </w:r>
    </w:p>
    <w:p w:rsidR="00D91D1F" w:rsidRPr="00E564A6" w:rsidRDefault="00D91D1F" w:rsidP="00D91D1F">
      <w:pPr>
        <w:suppressAutoHyphens w:val="0"/>
        <w:autoSpaceDE w:val="0"/>
        <w:autoSpaceDN w:val="0"/>
        <w:adjustRightInd w:val="0"/>
        <w:ind w:left="720"/>
        <w:jc w:val="both"/>
        <w:rPr>
          <w:rFonts w:ascii="Arial" w:hAnsi="Arial" w:cs="Arial"/>
          <w:sz w:val="20"/>
          <w:szCs w:val="20"/>
          <w:lang w:eastAsia="sl-SI"/>
        </w:rPr>
      </w:pPr>
    </w:p>
    <w:p w:rsidR="00D91D1F" w:rsidRPr="00E564A6" w:rsidRDefault="00D91D1F" w:rsidP="00D91D1F">
      <w:pPr>
        <w:suppressAutoHyphens w:val="0"/>
        <w:autoSpaceDE w:val="0"/>
        <w:autoSpaceDN w:val="0"/>
        <w:adjustRightInd w:val="0"/>
        <w:jc w:val="both"/>
        <w:rPr>
          <w:rFonts w:ascii="Arial" w:hAnsi="Arial" w:cs="Arial"/>
          <w:sz w:val="20"/>
          <w:szCs w:val="20"/>
          <w:lang w:eastAsia="sl-SI"/>
        </w:rPr>
      </w:pPr>
      <w:r w:rsidRPr="00E564A6">
        <w:rPr>
          <w:rFonts w:ascii="Arial" w:hAnsi="Arial" w:cs="Arial"/>
          <w:sz w:val="20"/>
          <w:szCs w:val="20"/>
          <w:lang w:eastAsia="sl-SI"/>
        </w:rPr>
        <w:t>Deležniki s tega področja bodo za realizacijo ukrepov oz. aktivnosti, ki so navedene v prilogi Nacionalnega programa, ukrepali skladno s svojimi pristojnostmi in pri tem slediti finančni načrt, ki je v tabeli 5-7. Prav tako je treba slediti finančnemu načrtu za subvencije in kompenzacije, podanih v tabeli 5-8.</w:t>
      </w:r>
    </w:p>
    <w:p w:rsidR="00D91D1F" w:rsidRPr="00E564A6" w:rsidRDefault="00D91D1F" w:rsidP="00D91D1F">
      <w:pPr>
        <w:suppressAutoHyphens w:val="0"/>
        <w:autoSpaceDE w:val="0"/>
        <w:autoSpaceDN w:val="0"/>
        <w:adjustRightInd w:val="0"/>
        <w:jc w:val="both"/>
        <w:rPr>
          <w:rFonts w:ascii="Arial" w:hAnsi="Arial" w:cs="Arial"/>
          <w:sz w:val="20"/>
          <w:szCs w:val="20"/>
          <w:lang w:eastAsia="sl-SI"/>
        </w:rPr>
      </w:pPr>
    </w:p>
    <w:p w:rsidR="00D91D1F" w:rsidRPr="00E564A6" w:rsidRDefault="00D91D1F" w:rsidP="001B0A14">
      <w:pPr>
        <w:pStyle w:val="Naslov2"/>
        <w:numPr>
          <w:ilvl w:val="1"/>
          <w:numId w:val="20"/>
        </w:numPr>
        <w:sectPr w:rsidR="00D91D1F" w:rsidRPr="00E564A6" w:rsidSect="00BF1663">
          <w:pgSz w:w="11906" w:h="16838"/>
          <w:pgMar w:top="1417" w:right="1417" w:bottom="1417" w:left="1417" w:header="708" w:footer="708" w:gutter="0"/>
          <w:cols w:space="708"/>
          <w:docGrid w:linePitch="360"/>
        </w:sectPr>
      </w:pPr>
      <w:bookmarkStart w:id="73" w:name="_Toc443029070"/>
    </w:p>
    <w:p w:rsidR="00D91D1F" w:rsidRPr="00E564A6" w:rsidRDefault="00E706C0" w:rsidP="00E706C0">
      <w:pPr>
        <w:pStyle w:val="Naslov2"/>
        <w:ind w:left="567" w:hanging="567"/>
      </w:pPr>
      <w:bookmarkStart w:id="74" w:name="_Toc456688584"/>
      <w:r>
        <w:lastRenderedPageBreak/>
        <w:t>5.4</w:t>
      </w:r>
      <w:r>
        <w:tab/>
      </w:r>
      <w:r w:rsidR="00D91D1F" w:rsidRPr="00E564A6">
        <w:t xml:space="preserve">Vodni </w:t>
      </w:r>
      <w:r w:rsidR="00D91D1F" w:rsidRPr="00936357">
        <w:t>promet</w:t>
      </w:r>
      <w:bookmarkEnd w:id="73"/>
      <w:bookmarkEnd w:id="74"/>
    </w:p>
    <w:p w:rsidR="00D91D1F" w:rsidRPr="00E564A6" w:rsidRDefault="00D91D1F" w:rsidP="00D91D1F">
      <w:pPr>
        <w:jc w:val="both"/>
        <w:rPr>
          <w:rFonts w:ascii="Arial" w:hAnsi="Arial" w:cs="Arial"/>
          <w:sz w:val="20"/>
          <w:szCs w:val="20"/>
        </w:rPr>
      </w:pPr>
    </w:p>
    <w:p w:rsidR="00D91D1F" w:rsidRPr="00E564A6" w:rsidRDefault="00D91D1F" w:rsidP="00D91D1F">
      <w:pPr>
        <w:pStyle w:val="Odstavekseznama"/>
        <w:suppressAutoHyphens w:val="0"/>
        <w:ind w:left="0"/>
        <w:jc w:val="both"/>
        <w:rPr>
          <w:rFonts w:ascii="Arial" w:hAnsi="Arial" w:cs="Arial"/>
          <w:sz w:val="20"/>
          <w:szCs w:val="20"/>
        </w:rPr>
      </w:pPr>
      <w:r w:rsidRPr="00E564A6">
        <w:rPr>
          <w:rFonts w:ascii="Arial" w:hAnsi="Arial" w:cs="Arial"/>
          <w:sz w:val="20"/>
          <w:szCs w:val="20"/>
        </w:rPr>
        <w:t>Tabela 5</w:t>
      </w:r>
      <w:r w:rsidRPr="00E564A6">
        <w:rPr>
          <w:rFonts w:ascii="Arial" w:hAnsi="Arial" w:cs="Arial"/>
          <w:sz w:val="20"/>
          <w:szCs w:val="20"/>
        </w:rPr>
        <w:noBreakHyphen/>
        <w:t>9</w:t>
      </w:r>
      <w:r w:rsidRPr="00E564A6">
        <w:rPr>
          <w:rFonts w:ascii="Arial" w:hAnsi="Arial" w:cs="Arial"/>
          <w:sz w:val="20"/>
          <w:szCs w:val="20"/>
          <w:lang w:eastAsia="sl-SI"/>
        </w:rPr>
        <w:t xml:space="preserve">: </w:t>
      </w:r>
      <w:r w:rsidRPr="00E564A6">
        <w:rPr>
          <w:rFonts w:ascii="Arial" w:hAnsi="Arial" w:cs="Arial"/>
          <w:sz w:val="20"/>
          <w:szCs w:val="20"/>
        </w:rPr>
        <w:t xml:space="preserve">Predvidena dinamika vlaganj, vodni promet (v mio EUR) </w:t>
      </w:r>
    </w:p>
    <w:tbl>
      <w:tblPr>
        <w:tblW w:w="9087" w:type="dxa"/>
        <w:tblInd w:w="55" w:type="dxa"/>
        <w:tblCellMar>
          <w:left w:w="70" w:type="dxa"/>
          <w:right w:w="70" w:type="dxa"/>
        </w:tblCellMar>
        <w:tblLook w:val="04A0" w:firstRow="1" w:lastRow="0" w:firstColumn="1" w:lastColumn="0" w:noHBand="0" w:noVBand="1"/>
      </w:tblPr>
      <w:tblGrid>
        <w:gridCol w:w="460"/>
        <w:gridCol w:w="1823"/>
        <w:gridCol w:w="709"/>
        <w:gridCol w:w="709"/>
        <w:gridCol w:w="709"/>
        <w:gridCol w:w="567"/>
        <w:gridCol w:w="708"/>
        <w:gridCol w:w="709"/>
        <w:gridCol w:w="709"/>
        <w:gridCol w:w="992"/>
        <w:gridCol w:w="992"/>
      </w:tblGrid>
      <w:tr w:rsidR="00452605" w:rsidRPr="00D91D1F" w:rsidTr="00E12291">
        <w:trPr>
          <w:trHeight w:val="420"/>
        </w:trPr>
        <w:tc>
          <w:tcPr>
            <w:tcW w:w="4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 </w:t>
            </w:r>
          </w:p>
        </w:tc>
        <w:tc>
          <w:tcPr>
            <w:tcW w:w="1823"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rPr>
                <w:rFonts w:ascii="Arial" w:hAnsi="Arial" w:cs="Arial"/>
                <w:b/>
                <w:bCs/>
                <w:sz w:val="16"/>
                <w:szCs w:val="16"/>
                <w:lang w:eastAsia="sl-SI"/>
              </w:rPr>
            </w:pPr>
            <w:r w:rsidRPr="00D91D1F">
              <w:rPr>
                <w:rFonts w:ascii="Arial" w:hAnsi="Arial" w:cs="Arial"/>
                <w:b/>
                <w:bCs/>
                <w:sz w:val="16"/>
                <w:szCs w:val="16"/>
                <w:lang w:eastAsia="sl-SI"/>
              </w:rPr>
              <w:t>Vodni promet</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2016</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2017</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2018</w:t>
            </w:r>
          </w:p>
        </w:tc>
        <w:tc>
          <w:tcPr>
            <w:tcW w:w="567"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2019</w:t>
            </w:r>
          </w:p>
        </w:tc>
        <w:tc>
          <w:tcPr>
            <w:tcW w:w="708"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2020</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2021</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2022</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Skupaj 2016-2022</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Skupaj 2023-2030</w:t>
            </w:r>
          </w:p>
        </w:tc>
      </w:tr>
      <w:tr w:rsidR="00452605" w:rsidRPr="00D91D1F" w:rsidTr="00E12291">
        <w:trPr>
          <w:trHeight w:val="210"/>
        </w:trPr>
        <w:tc>
          <w:tcPr>
            <w:tcW w:w="460" w:type="dxa"/>
            <w:tcBorders>
              <w:top w:val="nil"/>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w:t>
            </w:r>
          </w:p>
        </w:tc>
        <w:tc>
          <w:tcPr>
            <w:tcW w:w="182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rPr>
                <w:rFonts w:ascii="Arial" w:hAnsi="Arial" w:cs="Arial"/>
                <w:sz w:val="16"/>
                <w:szCs w:val="16"/>
                <w:lang w:eastAsia="sl-SI"/>
              </w:rPr>
            </w:pPr>
            <w:r w:rsidRPr="00D91D1F">
              <w:rPr>
                <w:rFonts w:ascii="Arial" w:hAnsi="Arial" w:cs="Arial"/>
                <w:sz w:val="16"/>
                <w:szCs w:val="16"/>
                <w:lang w:eastAsia="sl-SI"/>
              </w:rPr>
              <w:t>priprava</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8,93</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7,48</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10,97</w:t>
            </w:r>
          </w:p>
        </w:tc>
        <w:tc>
          <w:tcPr>
            <w:tcW w:w="567"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11,56</w:t>
            </w:r>
          </w:p>
        </w:tc>
        <w:tc>
          <w:tcPr>
            <w:tcW w:w="708"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1,31</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0,40</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0,15</w:t>
            </w:r>
          </w:p>
        </w:tc>
        <w:tc>
          <w:tcPr>
            <w:tcW w:w="992"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40,80</w:t>
            </w:r>
          </w:p>
        </w:tc>
        <w:tc>
          <w:tcPr>
            <w:tcW w:w="992"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r>
      <w:tr w:rsidR="00E12291" w:rsidRPr="00D91D1F" w:rsidTr="00E12291">
        <w:trPr>
          <w:trHeight w:val="210"/>
        </w:trPr>
        <w:tc>
          <w:tcPr>
            <w:tcW w:w="460" w:type="dxa"/>
            <w:tcBorders>
              <w:top w:val="nil"/>
              <w:left w:val="single" w:sz="4" w:space="0" w:color="auto"/>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1.1</w:t>
            </w:r>
          </w:p>
        </w:tc>
        <w:tc>
          <w:tcPr>
            <w:tcW w:w="1823"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CA75C0">
            <w:pPr>
              <w:suppressAutoHyphens w:val="0"/>
              <w:ind w:firstLineChars="300" w:firstLine="480"/>
              <w:rPr>
                <w:rFonts w:ascii="Arial" w:hAnsi="Arial" w:cs="Arial"/>
                <w:sz w:val="16"/>
                <w:szCs w:val="16"/>
                <w:lang w:eastAsia="sl-SI"/>
              </w:rPr>
            </w:pPr>
            <w:r w:rsidRPr="00D91D1F">
              <w:rPr>
                <w:rFonts w:ascii="Arial" w:hAnsi="Arial" w:cs="Arial"/>
                <w:sz w:val="16"/>
                <w:szCs w:val="16"/>
                <w:lang w:eastAsia="sl-SI"/>
              </w:rPr>
              <w:t>MZI</w:t>
            </w:r>
          </w:p>
        </w:tc>
        <w:tc>
          <w:tcPr>
            <w:tcW w:w="709"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0,23</w:t>
            </w:r>
          </w:p>
        </w:tc>
        <w:tc>
          <w:tcPr>
            <w:tcW w:w="709"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0,28</w:t>
            </w:r>
          </w:p>
        </w:tc>
        <w:tc>
          <w:tcPr>
            <w:tcW w:w="709"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0,22</w:t>
            </w:r>
          </w:p>
        </w:tc>
        <w:tc>
          <w:tcPr>
            <w:tcW w:w="567"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0,41</w:t>
            </w:r>
          </w:p>
        </w:tc>
        <w:tc>
          <w:tcPr>
            <w:tcW w:w="708"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0,51</w:t>
            </w:r>
          </w:p>
        </w:tc>
        <w:tc>
          <w:tcPr>
            <w:tcW w:w="709"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0,10</w:t>
            </w:r>
          </w:p>
        </w:tc>
        <w:tc>
          <w:tcPr>
            <w:tcW w:w="709"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c>
          <w:tcPr>
            <w:tcW w:w="992"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1,75</w:t>
            </w:r>
          </w:p>
        </w:tc>
        <w:tc>
          <w:tcPr>
            <w:tcW w:w="992"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r>
      <w:tr w:rsidR="00452605" w:rsidRPr="00D91D1F" w:rsidTr="00E12291">
        <w:trPr>
          <w:trHeight w:val="210"/>
        </w:trPr>
        <w:tc>
          <w:tcPr>
            <w:tcW w:w="460" w:type="dxa"/>
            <w:tcBorders>
              <w:top w:val="nil"/>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1.2</w:t>
            </w:r>
          </w:p>
        </w:tc>
        <w:tc>
          <w:tcPr>
            <w:tcW w:w="182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CA75C0">
            <w:pPr>
              <w:suppressAutoHyphens w:val="0"/>
              <w:ind w:firstLineChars="300" w:firstLine="480"/>
              <w:rPr>
                <w:rFonts w:ascii="Arial" w:hAnsi="Arial" w:cs="Arial"/>
                <w:sz w:val="16"/>
                <w:szCs w:val="16"/>
                <w:lang w:eastAsia="sl-SI"/>
              </w:rPr>
            </w:pPr>
            <w:r w:rsidRPr="00D91D1F">
              <w:rPr>
                <w:rFonts w:ascii="Arial" w:hAnsi="Arial" w:cs="Arial"/>
                <w:sz w:val="16"/>
                <w:szCs w:val="16"/>
                <w:lang w:eastAsia="sl-SI"/>
              </w:rPr>
              <w:t>Luka Koper d.d.</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8,70</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7,20</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10,75</w:t>
            </w:r>
          </w:p>
        </w:tc>
        <w:tc>
          <w:tcPr>
            <w:tcW w:w="567"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11,15</w:t>
            </w:r>
          </w:p>
        </w:tc>
        <w:tc>
          <w:tcPr>
            <w:tcW w:w="708"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0,80</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0,30</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0,15</w:t>
            </w:r>
          </w:p>
        </w:tc>
        <w:tc>
          <w:tcPr>
            <w:tcW w:w="992"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39,05</w:t>
            </w:r>
          </w:p>
        </w:tc>
        <w:tc>
          <w:tcPr>
            <w:tcW w:w="992"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r>
      <w:tr w:rsidR="00452605" w:rsidRPr="00D91D1F" w:rsidTr="00E12291">
        <w:trPr>
          <w:trHeight w:val="210"/>
        </w:trPr>
        <w:tc>
          <w:tcPr>
            <w:tcW w:w="460" w:type="dxa"/>
            <w:tcBorders>
              <w:top w:val="nil"/>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w:t>
            </w:r>
          </w:p>
        </w:tc>
        <w:tc>
          <w:tcPr>
            <w:tcW w:w="182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rPr>
                <w:rFonts w:ascii="Arial" w:hAnsi="Arial" w:cs="Arial"/>
                <w:sz w:val="16"/>
                <w:szCs w:val="16"/>
                <w:lang w:eastAsia="sl-SI"/>
              </w:rPr>
            </w:pPr>
            <w:r w:rsidRPr="00D91D1F">
              <w:rPr>
                <w:rFonts w:ascii="Arial" w:hAnsi="Arial" w:cs="Arial"/>
                <w:sz w:val="16"/>
                <w:szCs w:val="16"/>
                <w:lang w:eastAsia="sl-SI"/>
              </w:rPr>
              <w:t>izvedba</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43,47</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68,87</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63,12</w:t>
            </w:r>
          </w:p>
        </w:tc>
        <w:tc>
          <w:tcPr>
            <w:tcW w:w="567"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52,13</w:t>
            </w:r>
          </w:p>
        </w:tc>
        <w:tc>
          <w:tcPr>
            <w:tcW w:w="708"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30,31</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69,95</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79,35</w:t>
            </w:r>
          </w:p>
        </w:tc>
        <w:tc>
          <w:tcPr>
            <w:tcW w:w="992"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407,20</w:t>
            </w:r>
          </w:p>
        </w:tc>
        <w:tc>
          <w:tcPr>
            <w:tcW w:w="992"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159,00</w:t>
            </w:r>
          </w:p>
        </w:tc>
      </w:tr>
      <w:tr w:rsidR="00E12291" w:rsidRPr="00D91D1F" w:rsidTr="00E12291">
        <w:trPr>
          <w:trHeight w:val="210"/>
        </w:trPr>
        <w:tc>
          <w:tcPr>
            <w:tcW w:w="460" w:type="dxa"/>
            <w:tcBorders>
              <w:top w:val="nil"/>
              <w:left w:val="single" w:sz="4" w:space="0" w:color="auto"/>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2.1</w:t>
            </w:r>
          </w:p>
        </w:tc>
        <w:tc>
          <w:tcPr>
            <w:tcW w:w="1823"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CA75C0">
            <w:pPr>
              <w:suppressAutoHyphens w:val="0"/>
              <w:ind w:firstLineChars="300" w:firstLine="480"/>
              <w:rPr>
                <w:rFonts w:ascii="Arial" w:hAnsi="Arial" w:cs="Arial"/>
                <w:sz w:val="16"/>
                <w:szCs w:val="16"/>
                <w:lang w:eastAsia="sl-SI"/>
              </w:rPr>
            </w:pPr>
            <w:r w:rsidRPr="00D91D1F">
              <w:rPr>
                <w:rFonts w:ascii="Arial" w:hAnsi="Arial" w:cs="Arial"/>
                <w:sz w:val="16"/>
                <w:szCs w:val="16"/>
                <w:lang w:eastAsia="sl-SI"/>
              </w:rPr>
              <w:t>MZI</w:t>
            </w:r>
          </w:p>
        </w:tc>
        <w:tc>
          <w:tcPr>
            <w:tcW w:w="709"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2,47</w:t>
            </w:r>
          </w:p>
        </w:tc>
        <w:tc>
          <w:tcPr>
            <w:tcW w:w="709"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5,87</w:t>
            </w:r>
          </w:p>
        </w:tc>
        <w:tc>
          <w:tcPr>
            <w:tcW w:w="709"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3,12</w:t>
            </w:r>
          </w:p>
        </w:tc>
        <w:tc>
          <w:tcPr>
            <w:tcW w:w="567"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3,13</w:t>
            </w:r>
          </w:p>
        </w:tc>
        <w:tc>
          <w:tcPr>
            <w:tcW w:w="708"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3,31</w:t>
            </w:r>
          </w:p>
        </w:tc>
        <w:tc>
          <w:tcPr>
            <w:tcW w:w="709"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11,95</w:t>
            </w:r>
          </w:p>
        </w:tc>
        <w:tc>
          <w:tcPr>
            <w:tcW w:w="709"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25,65</w:t>
            </w:r>
          </w:p>
        </w:tc>
        <w:tc>
          <w:tcPr>
            <w:tcW w:w="992"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55,50</w:t>
            </w:r>
          </w:p>
        </w:tc>
        <w:tc>
          <w:tcPr>
            <w:tcW w:w="992"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r>
      <w:tr w:rsidR="00452605" w:rsidRPr="00D91D1F" w:rsidTr="00E12291">
        <w:trPr>
          <w:trHeight w:val="210"/>
        </w:trPr>
        <w:tc>
          <w:tcPr>
            <w:tcW w:w="460" w:type="dxa"/>
            <w:tcBorders>
              <w:top w:val="nil"/>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2.2</w:t>
            </w:r>
          </w:p>
        </w:tc>
        <w:tc>
          <w:tcPr>
            <w:tcW w:w="182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CA75C0">
            <w:pPr>
              <w:suppressAutoHyphens w:val="0"/>
              <w:ind w:firstLineChars="300" w:firstLine="480"/>
              <w:rPr>
                <w:rFonts w:ascii="Arial" w:hAnsi="Arial" w:cs="Arial"/>
                <w:sz w:val="16"/>
                <w:szCs w:val="16"/>
                <w:lang w:eastAsia="sl-SI"/>
              </w:rPr>
            </w:pPr>
            <w:r w:rsidRPr="00D91D1F">
              <w:rPr>
                <w:rFonts w:ascii="Arial" w:hAnsi="Arial" w:cs="Arial"/>
                <w:sz w:val="16"/>
                <w:szCs w:val="16"/>
                <w:lang w:eastAsia="sl-SI"/>
              </w:rPr>
              <w:t>Luka Koper d.d.</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41,00</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63,00</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60,00</w:t>
            </w:r>
          </w:p>
        </w:tc>
        <w:tc>
          <w:tcPr>
            <w:tcW w:w="567"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49,00</w:t>
            </w:r>
          </w:p>
        </w:tc>
        <w:tc>
          <w:tcPr>
            <w:tcW w:w="708"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27,00</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58,00</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53,70</w:t>
            </w:r>
          </w:p>
        </w:tc>
        <w:tc>
          <w:tcPr>
            <w:tcW w:w="992"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351,70</w:t>
            </w:r>
          </w:p>
        </w:tc>
        <w:tc>
          <w:tcPr>
            <w:tcW w:w="992"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159,00</w:t>
            </w:r>
          </w:p>
        </w:tc>
      </w:tr>
      <w:tr w:rsidR="00E12291" w:rsidRPr="00D91D1F" w:rsidTr="00E12291">
        <w:trPr>
          <w:trHeight w:val="210"/>
        </w:trPr>
        <w:tc>
          <w:tcPr>
            <w:tcW w:w="460" w:type="dxa"/>
            <w:tcBorders>
              <w:top w:val="nil"/>
              <w:left w:val="single" w:sz="4" w:space="0" w:color="auto"/>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3.</w:t>
            </w:r>
          </w:p>
        </w:tc>
        <w:tc>
          <w:tcPr>
            <w:tcW w:w="1823"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rPr>
                <w:rFonts w:ascii="Arial" w:hAnsi="Arial" w:cs="Arial"/>
                <w:b/>
                <w:bCs/>
                <w:sz w:val="16"/>
                <w:szCs w:val="16"/>
                <w:lang w:eastAsia="sl-SI"/>
              </w:rPr>
            </w:pPr>
            <w:r w:rsidRPr="00D91D1F">
              <w:rPr>
                <w:rFonts w:ascii="Arial" w:hAnsi="Arial" w:cs="Arial"/>
                <w:b/>
                <w:bCs/>
                <w:sz w:val="16"/>
                <w:szCs w:val="16"/>
                <w:lang w:eastAsia="sl-SI"/>
              </w:rPr>
              <w:t>Skupaj MZI</w:t>
            </w:r>
          </w:p>
        </w:tc>
        <w:tc>
          <w:tcPr>
            <w:tcW w:w="709"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2,70</w:t>
            </w:r>
          </w:p>
        </w:tc>
        <w:tc>
          <w:tcPr>
            <w:tcW w:w="709"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6,15</w:t>
            </w:r>
          </w:p>
        </w:tc>
        <w:tc>
          <w:tcPr>
            <w:tcW w:w="709"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3,34</w:t>
            </w:r>
          </w:p>
        </w:tc>
        <w:tc>
          <w:tcPr>
            <w:tcW w:w="567"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3,54</w:t>
            </w:r>
          </w:p>
        </w:tc>
        <w:tc>
          <w:tcPr>
            <w:tcW w:w="708"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3,82</w:t>
            </w:r>
          </w:p>
        </w:tc>
        <w:tc>
          <w:tcPr>
            <w:tcW w:w="709"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12,05</w:t>
            </w:r>
          </w:p>
        </w:tc>
        <w:tc>
          <w:tcPr>
            <w:tcW w:w="709"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25,65</w:t>
            </w:r>
          </w:p>
        </w:tc>
        <w:tc>
          <w:tcPr>
            <w:tcW w:w="992"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57,25</w:t>
            </w:r>
          </w:p>
        </w:tc>
        <w:tc>
          <w:tcPr>
            <w:tcW w:w="992"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0,00</w:t>
            </w:r>
          </w:p>
        </w:tc>
      </w:tr>
      <w:tr w:rsidR="00452605" w:rsidRPr="00D91D1F" w:rsidTr="00E12291">
        <w:trPr>
          <w:trHeight w:val="210"/>
        </w:trPr>
        <w:tc>
          <w:tcPr>
            <w:tcW w:w="460" w:type="dxa"/>
            <w:tcBorders>
              <w:top w:val="nil"/>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w:t>
            </w:r>
          </w:p>
        </w:tc>
        <w:tc>
          <w:tcPr>
            <w:tcW w:w="182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rPr>
                <w:rFonts w:ascii="Arial" w:hAnsi="Arial" w:cs="Arial"/>
                <w:sz w:val="16"/>
                <w:szCs w:val="16"/>
                <w:lang w:eastAsia="sl-SI"/>
              </w:rPr>
            </w:pPr>
            <w:r w:rsidRPr="00D91D1F">
              <w:rPr>
                <w:rFonts w:ascii="Arial" w:hAnsi="Arial" w:cs="Arial"/>
                <w:sz w:val="16"/>
                <w:szCs w:val="16"/>
                <w:lang w:eastAsia="sl-SI"/>
              </w:rPr>
              <w:t>Skupaj Luka Koper d.d.</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49,70</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70,20</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70,75</w:t>
            </w:r>
          </w:p>
        </w:tc>
        <w:tc>
          <w:tcPr>
            <w:tcW w:w="567"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60,15</w:t>
            </w:r>
          </w:p>
        </w:tc>
        <w:tc>
          <w:tcPr>
            <w:tcW w:w="708"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27,80</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58,30</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53,85</w:t>
            </w:r>
          </w:p>
        </w:tc>
        <w:tc>
          <w:tcPr>
            <w:tcW w:w="992"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390,75</w:t>
            </w:r>
          </w:p>
        </w:tc>
        <w:tc>
          <w:tcPr>
            <w:tcW w:w="992"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159,00</w:t>
            </w:r>
          </w:p>
        </w:tc>
      </w:tr>
      <w:tr w:rsidR="00452605" w:rsidRPr="00D91D1F" w:rsidTr="00E12291">
        <w:trPr>
          <w:trHeight w:val="210"/>
        </w:trPr>
        <w:tc>
          <w:tcPr>
            <w:tcW w:w="460" w:type="dxa"/>
            <w:tcBorders>
              <w:top w:val="nil"/>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5.</w:t>
            </w:r>
          </w:p>
        </w:tc>
        <w:tc>
          <w:tcPr>
            <w:tcW w:w="182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rPr>
                <w:rFonts w:ascii="Arial" w:hAnsi="Arial" w:cs="Arial"/>
                <w:b/>
                <w:bCs/>
                <w:sz w:val="16"/>
                <w:szCs w:val="16"/>
                <w:lang w:eastAsia="sl-SI"/>
              </w:rPr>
            </w:pPr>
            <w:r w:rsidRPr="00D91D1F">
              <w:rPr>
                <w:rFonts w:ascii="Arial" w:hAnsi="Arial" w:cs="Arial"/>
                <w:b/>
                <w:bCs/>
                <w:sz w:val="16"/>
                <w:szCs w:val="16"/>
                <w:lang w:eastAsia="sl-SI"/>
              </w:rPr>
              <w:t>Skupaj vodni promet</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52,40</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76,35</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74,09</w:t>
            </w:r>
          </w:p>
        </w:tc>
        <w:tc>
          <w:tcPr>
            <w:tcW w:w="567"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63,69</w:t>
            </w:r>
          </w:p>
        </w:tc>
        <w:tc>
          <w:tcPr>
            <w:tcW w:w="708"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31,62</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70,35</w:t>
            </w:r>
          </w:p>
        </w:tc>
        <w:tc>
          <w:tcPr>
            <w:tcW w:w="70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79,50</w:t>
            </w:r>
          </w:p>
        </w:tc>
        <w:tc>
          <w:tcPr>
            <w:tcW w:w="992"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448,00</w:t>
            </w:r>
          </w:p>
        </w:tc>
        <w:tc>
          <w:tcPr>
            <w:tcW w:w="992"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159,00</w:t>
            </w:r>
          </w:p>
        </w:tc>
      </w:tr>
    </w:tbl>
    <w:p w:rsidR="00D91D1F" w:rsidRPr="00D91D1F" w:rsidRDefault="00D91D1F" w:rsidP="00D91D1F">
      <w:pPr>
        <w:jc w:val="both"/>
        <w:rPr>
          <w:rFonts w:ascii="Arial" w:hAnsi="Arial" w:cs="Arial"/>
          <w:szCs w:val="22"/>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Glavnino vlaganj v infrastrukturo izvaja koncesionar v koprskem pristanišču za mednarodni promet Luka Koper d.d. Država bo v obdobju 2016–2022 predvidoma za investicije zagotovila 57,25 mio EUR, od tega je s sredstvi EU predvideno sofinanciranje v ocenjeni višini 6 mio EUR.</w:t>
      </w:r>
    </w:p>
    <w:p w:rsidR="00D91D1F" w:rsidRPr="00E564A6" w:rsidRDefault="00D91D1F" w:rsidP="00D91D1F">
      <w:pPr>
        <w:jc w:val="both"/>
        <w:rPr>
          <w:rFonts w:ascii="Arial" w:hAnsi="Arial" w:cs="Arial"/>
          <w:color w:val="000000"/>
          <w:sz w:val="20"/>
          <w:szCs w:val="20"/>
        </w:rPr>
      </w:pPr>
    </w:p>
    <w:p w:rsidR="00D91D1F" w:rsidRPr="00E564A6" w:rsidRDefault="00D91D1F" w:rsidP="00D91D1F">
      <w:pPr>
        <w:jc w:val="both"/>
        <w:rPr>
          <w:rFonts w:ascii="Arial" w:hAnsi="Arial" w:cs="Arial"/>
          <w:sz w:val="20"/>
          <w:szCs w:val="20"/>
          <w:lang w:eastAsia="sl-SI"/>
        </w:rPr>
      </w:pPr>
      <w:r w:rsidRPr="00E564A6">
        <w:rPr>
          <w:rFonts w:ascii="Arial" w:hAnsi="Arial" w:cs="Arial"/>
          <w:sz w:val="20"/>
          <w:szCs w:val="20"/>
          <w:lang w:eastAsia="sl-SI"/>
        </w:rPr>
        <w:t xml:space="preserve">Nosilci aktivnosti izdelajo 6-letni načrt izvajanja aktivnosti, za katere so zadolženi in so razvidne iz priloge Nacionalnega programa. Ministrstvo, pristojno za promet, 6-letni načrt izvajanja aktivnosti iz prilog Nacionalnega programa združi in uskladi z ostalimi področji prometne infrastrukture ter ga kot 6-letni operativni načrt posreduje v potrditev Vladi RS. </w:t>
      </w:r>
    </w:p>
    <w:p w:rsidR="00D91D1F" w:rsidRPr="00E564A6" w:rsidRDefault="00D91D1F" w:rsidP="00D91D1F">
      <w:pPr>
        <w:jc w:val="both"/>
        <w:rPr>
          <w:rFonts w:ascii="Arial" w:hAnsi="Arial" w:cs="Arial"/>
          <w:sz w:val="20"/>
          <w:szCs w:val="20"/>
          <w:lang w:eastAsia="sl-SI"/>
        </w:rPr>
      </w:pPr>
    </w:p>
    <w:p w:rsidR="00D91D1F" w:rsidRPr="00E564A6" w:rsidRDefault="00D91D1F" w:rsidP="00D91D1F">
      <w:pPr>
        <w:jc w:val="both"/>
        <w:rPr>
          <w:rFonts w:ascii="Arial" w:hAnsi="Arial" w:cs="Arial"/>
          <w:sz w:val="20"/>
          <w:szCs w:val="20"/>
          <w:lang w:eastAsia="sl-SI"/>
        </w:rPr>
      </w:pPr>
      <w:r w:rsidRPr="00E564A6">
        <w:rPr>
          <w:rFonts w:ascii="Arial" w:hAnsi="Arial" w:cs="Arial"/>
          <w:sz w:val="20"/>
          <w:szCs w:val="20"/>
          <w:lang w:eastAsia="sl-SI"/>
        </w:rPr>
        <w:t>Koncesionar, ki vodi pristanišče za mednarodni promet v Kopru svoje načrte vlaganj izdela skladno s koncesijsko pogodbo v obliki Strokovnih podlag programa razvoja pristanišča za določeno razvojno obdobje. Ministrstvo pristojno za promet sprejme Program razvoja pristanišča in ga posreduje v potrditev Vladi RS skupaj s 6-letnim operativnim načrtom za izvajanje Nacionalnega programa.</w:t>
      </w:r>
    </w:p>
    <w:p w:rsidR="00D91D1F" w:rsidRPr="00E564A6" w:rsidRDefault="00D91D1F" w:rsidP="00D91D1F">
      <w:pPr>
        <w:jc w:val="both"/>
        <w:rPr>
          <w:rFonts w:ascii="Arial" w:hAnsi="Arial" w:cs="Arial"/>
          <w:color w:val="000000"/>
          <w:sz w:val="20"/>
          <w:szCs w:val="20"/>
        </w:rPr>
      </w:pPr>
    </w:p>
    <w:p w:rsidR="00D91D1F" w:rsidRPr="00E564A6" w:rsidRDefault="00D91D1F" w:rsidP="00D91D1F">
      <w:pPr>
        <w:jc w:val="both"/>
        <w:rPr>
          <w:rFonts w:ascii="Arial" w:hAnsi="Arial" w:cs="Arial"/>
          <w:sz w:val="20"/>
          <w:szCs w:val="20"/>
        </w:rPr>
      </w:pPr>
      <w:r w:rsidRPr="00E564A6">
        <w:rPr>
          <w:rFonts w:ascii="Arial" w:hAnsi="Arial" w:cs="Arial"/>
          <w:color w:val="000000"/>
          <w:sz w:val="20"/>
          <w:szCs w:val="20"/>
        </w:rPr>
        <w:t>Za dosego</w:t>
      </w:r>
      <w:r w:rsidRPr="00E564A6">
        <w:rPr>
          <w:rFonts w:ascii="Arial" w:hAnsi="Arial" w:cs="Arial"/>
          <w:sz w:val="20"/>
          <w:szCs w:val="20"/>
        </w:rPr>
        <w:t xml:space="preserve"> ciljev so v Nacionalnem programu določeni ukrepi, ki se nanašajo na vodni promet in zadevajo javno prometno infrastrukturo v pomorskem prometu: </w:t>
      </w:r>
    </w:p>
    <w:p w:rsidR="00D91D1F" w:rsidRPr="00E564A6" w:rsidRDefault="00D91D1F" w:rsidP="004D661A">
      <w:pPr>
        <w:numPr>
          <w:ilvl w:val="0"/>
          <w:numId w:val="11"/>
        </w:numPr>
        <w:ind w:left="426" w:hanging="349"/>
        <w:jc w:val="both"/>
        <w:rPr>
          <w:rFonts w:ascii="Arial" w:hAnsi="Arial" w:cs="Arial"/>
          <w:sz w:val="20"/>
          <w:szCs w:val="20"/>
        </w:rPr>
      </w:pPr>
      <w:r w:rsidRPr="00E564A6">
        <w:rPr>
          <w:rFonts w:ascii="Arial" w:hAnsi="Arial" w:cs="Arial"/>
          <w:sz w:val="20"/>
          <w:szCs w:val="20"/>
        </w:rPr>
        <w:t>koprsko pristanišče, predvsem naslednje:</w:t>
      </w:r>
    </w:p>
    <w:p w:rsidR="00D91D1F" w:rsidRPr="00E564A6" w:rsidRDefault="00D91D1F" w:rsidP="004D661A">
      <w:pPr>
        <w:pStyle w:val="Odstavekseznama"/>
        <w:numPr>
          <w:ilvl w:val="0"/>
          <w:numId w:val="39"/>
        </w:numPr>
        <w:suppressAutoHyphens w:val="0"/>
        <w:autoSpaceDE w:val="0"/>
        <w:autoSpaceDN w:val="0"/>
        <w:adjustRightInd w:val="0"/>
        <w:ind w:left="851"/>
        <w:contextualSpacing w:val="0"/>
        <w:jc w:val="both"/>
        <w:rPr>
          <w:rFonts w:ascii="Arial" w:hAnsi="Arial" w:cs="Arial"/>
          <w:sz w:val="20"/>
          <w:szCs w:val="20"/>
          <w:lang w:eastAsia="sl-SI"/>
        </w:rPr>
      </w:pPr>
      <w:r w:rsidRPr="00E564A6">
        <w:rPr>
          <w:rFonts w:ascii="Arial" w:hAnsi="Arial" w:cs="Arial"/>
          <w:sz w:val="20"/>
          <w:szCs w:val="20"/>
          <w:lang w:eastAsia="sl-SI"/>
        </w:rPr>
        <w:t>podaljšanje pomolov, preureditve pomolov, preurejanja obstoječe infrastrukture za zagotavljanje razvoja pristaniških dejavnosti in povečevanja obsega pretovora,</w:t>
      </w:r>
    </w:p>
    <w:p w:rsidR="00D91D1F" w:rsidRPr="00E564A6" w:rsidRDefault="00D91D1F" w:rsidP="004D661A">
      <w:pPr>
        <w:pStyle w:val="Odstavekseznama"/>
        <w:numPr>
          <w:ilvl w:val="0"/>
          <w:numId w:val="39"/>
        </w:numPr>
        <w:suppressAutoHyphens w:val="0"/>
        <w:autoSpaceDE w:val="0"/>
        <w:autoSpaceDN w:val="0"/>
        <w:adjustRightInd w:val="0"/>
        <w:ind w:left="851"/>
        <w:contextualSpacing w:val="0"/>
        <w:jc w:val="both"/>
        <w:rPr>
          <w:rFonts w:ascii="Arial" w:hAnsi="Arial" w:cs="Arial"/>
          <w:sz w:val="20"/>
          <w:szCs w:val="20"/>
          <w:lang w:eastAsia="sl-SI"/>
        </w:rPr>
      </w:pPr>
      <w:r w:rsidRPr="00E564A6">
        <w:rPr>
          <w:rFonts w:ascii="Arial" w:hAnsi="Arial" w:cs="Arial"/>
          <w:sz w:val="20"/>
          <w:szCs w:val="20"/>
          <w:lang w:eastAsia="sl-SI"/>
        </w:rPr>
        <w:t>poglabljanje vplovnih kanalov in pristaniških bazenov,</w:t>
      </w:r>
    </w:p>
    <w:p w:rsidR="00D91D1F" w:rsidRPr="00E564A6" w:rsidRDefault="00D91D1F" w:rsidP="004D661A">
      <w:pPr>
        <w:pStyle w:val="Odstavekseznama"/>
        <w:numPr>
          <w:ilvl w:val="0"/>
          <w:numId w:val="39"/>
        </w:numPr>
        <w:suppressAutoHyphens w:val="0"/>
        <w:autoSpaceDE w:val="0"/>
        <w:autoSpaceDN w:val="0"/>
        <w:adjustRightInd w:val="0"/>
        <w:ind w:left="851"/>
        <w:contextualSpacing w:val="0"/>
        <w:jc w:val="both"/>
        <w:rPr>
          <w:rFonts w:ascii="Arial" w:hAnsi="Arial" w:cs="Arial"/>
          <w:sz w:val="20"/>
          <w:szCs w:val="20"/>
          <w:lang w:eastAsia="sl-SI"/>
        </w:rPr>
      </w:pPr>
      <w:r w:rsidRPr="00E564A6">
        <w:rPr>
          <w:rFonts w:ascii="Arial" w:hAnsi="Arial" w:cs="Arial"/>
          <w:sz w:val="20"/>
          <w:szCs w:val="20"/>
          <w:lang w:eastAsia="sl-SI"/>
        </w:rPr>
        <w:t xml:space="preserve">izgradnja potniškega terminala, </w:t>
      </w:r>
    </w:p>
    <w:p w:rsidR="00D91D1F" w:rsidRPr="00E564A6" w:rsidRDefault="00D91D1F" w:rsidP="004D661A">
      <w:pPr>
        <w:pStyle w:val="Odstavekseznama"/>
        <w:numPr>
          <w:ilvl w:val="0"/>
          <w:numId w:val="39"/>
        </w:numPr>
        <w:suppressAutoHyphens w:val="0"/>
        <w:autoSpaceDE w:val="0"/>
        <w:autoSpaceDN w:val="0"/>
        <w:adjustRightInd w:val="0"/>
        <w:ind w:left="851"/>
        <w:contextualSpacing w:val="0"/>
        <w:jc w:val="both"/>
        <w:rPr>
          <w:rFonts w:ascii="Arial" w:hAnsi="Arial" w:cs="Arial"/>
          <w:sz w:val="20"/>
          <w:szCs w:val="20"/>
          <w:lang w:eastAsia="sl-SI"/>
        </w:rPr>
      </w:pPr>
      <w:r w:rsidRPr="00E564A6">
        <w:rPr>
          <w:rFonts w:ascii="Arial" w:hAnsi="Arial" w:cs="Arial"/>
          <w:sz w:val="20"/>
          <w:szCs w:val="20"/>
          <w:lang w:eastAsia="sl-SI"/>
        </w:rPr>
        <w:t>polnilne postaje za alternativna goriva</w:t>
      </w:r>
    </w:p>
    <w:p w:rsidR="00D91D1F" w:rsidRPr="00E564A6" w:rsidRDefault="00D91D1F" w:rsidP="004D661A">
      <w:pPr>
        <w:numPr>
          <w:ilvl w:val="0"/>
          <w:numId w:val="11"/>
        </w:numPr>
        <w:ind w:left="426" w:hanging="349"/>
        <w:jc w:val="both"/>
        <w:rPr>
          <w:rFonts w:ascii="Arial" w:hAnsi="Arial" w:cs="Arial"/>
          <w:sz w:val="20"/>
          <w:szCs w:val="20"/>
        </w:rPr>
      </w:pPr>
      <w:r w:rsidRPr="00E564A6">
        <w:rPr>
          <w:rFonts w:ascii="Arial" w:hAnsi="Arial" w:cs="Arial"/>
          <w:sz w:val="20"/>
          <w:szCs w:val="20"/>
        </w:rPr>
        <w:t xml:space="preserve">vzpostavitev celinske plovne poti v mednarodni kategoriji po reki Savi med Brežicami in Obrežjem, če je (bo) ta utemeljena, </w:t>
      </w:r>
    </w:p>
    <w:p w:rsidR="00D91D1F" w:rsidRPr="00E564A6" w:rsidRDefault="00D91D1F" w:rsidP="004D661A">
      <w:pPr>
        <w:numPr>
          <w:ilvl w:val="0"/>
          <w:numId w:val="11"/>
        </w:numPr>
        <w:ind w:left="426" w:hanging="349"/>
        <w:jc w:val="both"/>
        <w:rPr>
          <w:rFonts w:ascii="Arial" w:hAnsi="Arial" w:cs="Arial"/>
          <w:sz w:val="20"/>
          <w:szCs w:val="20"/>
        </w:rPr>
      </w:pPr>
      <w:r w:rsidRPr="00E564A6">
        <w:rPr>
          <w:rFonts w:ascii="Arial" w:hAnsi="Arial" w:cs="Arial"/>
          <w:sz w:val="20"/>
          <w:szCs w:val="20"/>
        </w:rPr>
        <w:t>določitev plovnih kategorij celinskih vodnih poti v Sloveniji v regionalnih kategorijah (I–III) na območjih rek in jezer z ustreznimi pogoji ter prenovo zakonodaje o plovbi po celinskih vodah (izdelava strokovnih podlag).</w:t>
      </w:r>
    </w:p>
    <w:p w:rsidR="00D91D1F" w:rsidRPr="00E564A6" w:rsidRDefault="00D91D1F" w:rsidP="004D661A">
      <w:pPr>
        <w:numPr>
          <w:ilvl w:val="0"/>
          <w:numId w:val="11"/>
        </w:numPr>
        <w:ind w:left="426" w:hanging="349"/>
        <w:jc w:val="both"/>
        <w:rPr>
          <w:rFonts w:ascii="Arial" w:hAnsi="Arial" w:cs="Arial"/>
          <w:sz w:val="20"/>
          <w:szCs w:val="20"/>
        </w:rPr>
      </w:pPr>
      <w:r w:rsidRPr="00E564A6">
        <w:rPr>
          <w:rFonts w:ascii="Arial" w:hAnsi="Arial" w:cs="Arial"/>
          <w:sz w:val="20"/>
          <w:szCs w:val="20"/>
        </w:rPr>
        <w:t xml:space="preserve">izboljšanje varnosti prometnega sistema, ki predvideva nadgradnjo VTS opreme (sistem za spremljanje pomorskega prometa), vzpostavitev enotnega okna za pomorski promet, vzpostavitev celostnega pomorskega nadzora, </w:t>
      </w:r>
    </w:p>
    <w:p w:rsidR="00D91D1F" w:rsidRPr="00E564A6" w:rsidRDefault="00D91D1F" w:rsidP="004D661A">
      <w:pPr>
        <w:numPr>
          <w:ilvl w:val="0"/>
          <w:numId w:val="11"/>
        </w:numPr>
        <w:ind w:left="426" w:hanging="349"/>
        <w:jc w:val="both"/>
        <w:rPr>
          <w:rFonts w:ascii="Arial" w:hAnsi="Arial" w:cs="Arial"/>
          <w:sz w:val="20"/>
          <w:szCs w:val="20"/>
        </w:rPr>
      </w:pPr>
      <w:r w:rsidRPr="00E564A6">
        <w:rPr>
          <w:rFonts w:ascii="Arial" w:hAnsi="Arial" w:cs="Arial"/>
          <w:sz w:val="20"/>
          <w:szCs w:val="20"/>
        </w:rPr>
        <w:t xml:space="preserve">vzdrževanje objektov za varnost plovbe, </w:t>
      </w:r>
    </w:p>
    <w:p w:rsidR="00D91D1F" w:rsidRPr="00E564A6" w:rsidRDefault="00D91D1F" w:rsidP="004D661A">
      <w:pPr>
        <w:numPr>
          <w:ilvl w:val="0"/>
          <w:numId w:val="11"/>
        </w:numPr>
        <w:ind w:left="426" w:hanging="349"/>
        <w:jc w:val="both"/>
        <w:rPr>
          <w:rFonts w:ascii="Arial" w:hAnsi="Arial" w:cs="Arial"/>
          <w:sz w:val="20"/>
          <w:szCs w:val="20"/>
        </w:rPr>
      </w:pPr>
      <w:r w:rsidRPr="00E564A6">
        <w:rPr>
          <w:rFonts w:ascii="Arial" w:hAnsi="Arial" w:cs="Arial"/>
          <w:sz w:val="20"/>
          <w:szCs w:val="20"/>
        </w:rPr>
        <w:t>hidrografske meritve slovenskega morja,</w:t>
      </w:r>
    </w:p>
    <w:p w:rsidR="00D91D1F" w:rsidRPr="00E564A6" w:rsidRDefault="00D91D1F" w:rsidP="004D661A">
      <w:pPr>
        <w:numPr>
          <w:ilvl w:val="0"/>
          <w:numId w:val="11"/>
        </w:numPr>
        <w:ind w:left="426" w:hanging="349"/>
        <w:jc w:val="both"/>
        <w:rPr>
          <w:rFonts w:ascii="Arial" w:hAnsi="Arial" w:cs="Arial"/>
          <w:sz w:val="20"/>
          <w:szCs w:val="20"/>
        </w:rPr>
      </w:pPr>
      <w:r w:rsidRPr="00E564A6">
        <w:rPr>
          <w:rFonts w:ascii="Arial" w:hAnsi="Arial" w:cs="Arial"/>
          <w:sz w:val="20"/>
          <w:szCs w:val="20"/>
        </w:rPr>
        <w:t>čiščenje morja s prevzemom službe SVOM,</w:t>
      </w:r>
    </w:p>
    <w:p w:rsidR="00D91D1F" w:rsidRPr="00E564A6" w:rsidRDefault="00D91D1F" w:rsidP="004D661A">
      <w:pPr>
        <w:numPr>
          <w:ilvl w:val="0"/>
          <w:numId w:val="11"/>
        </w:numPr>
        <w:ind w:left="426" w:hanging="349"/>
        <w:jc w:val="both"/>
        <w:rPr>
          <w:rFonts w:ascii="Arial" w:hAnsi="Arial" w:cs="Arial"/>
          <w:sz w:val="20"/>
          <w:szCs w:val="20"/>
        </w:rPr>
      </w:pPr>
      <w:r w:rsidRPr="00E564A6">
        <w:rPr>
          <w:rFonts w:ascii="Arial" w:hAnsi="Arial" w:cs="Arial"/>
          <w:sz w:val="20"/>
          <w:szCs w:val="20"/>
        </w:rPr>
        <w:t>povečanje administrativne zmogljivosti in usposabljanje - vzpostavitev novih poslovnih prostorov URSP in izpostav URSP za celinsko plovbo.</w:t>
      </w:r>
    </w:p>
    <w:p w:rsidR="00D91D1F" w:rsidRPr="00E564A6" w:rsidRDefault="00D91D1F" w:rsidP="00D91D1F">
      <w:pPr>
        <w:suppressAutoHyphens w:val="0"/>
        <w:autoSpaceDE w:val="0"/>
        <w:autoSpaceDN w:val="0"/>
        <w:adjustRightInd w:val="0"/>
        <w:jc w:val="both"/>
        <w:rPr>
          <w:rFonts w:ascii="Arial" w:hAnsi="Arial" w:cs="Arial"/>
          <w:sz w:val="20"/>
          <w:szCs w:val="20"/>
          <w:lang w:eastAsia="sl-SI"/>
        </w:rPr>
      </w:pPr>
    </w:p>
    <w:p w:rsidR="00D91D1F" w:rsidRPr="00E564A6" w:rsidRDefault="00D91D1F" w:rsidP="00D91D1F">
      <w:pPr>
        <w:suppressAutoHyphens w:val="0"/>
        <w:autoSpaceDE w:val="0"/>
        <w:autoSpaceDN w:val="0"/>
        <w:adjustRightInd w:val="0"/>
        <w:jc w:val="both"/>
        <w:rPr>
          <w:rFonts w:ascii="Arial" w:hAnsi="Arial" w:cs="Arial"/>
          <w:sz w:val="20"/>
          <w:szCs w:val="20"/>
          <w:lang w:eastAsia="sl-SI"/>
        </w:rPr>
      </w:pPr>
      <w:r w:rsidRPr="00E564A6">
        <w:rPr>
          <w:rFonts w:ascii="Arial" w:hAnsi="Arial" w:cs="Arial"/>
          <w:sz w:val="20"/>
          <w:szCs w:val="20"/>
          <w:lang w:eastAsia="sl-SI"/>
        </w:rPr>
        <w:t>Za realizacijo ukrepov oz. aktivnosti, ki so za to področje navedene v prilogi Nacionalnega programa, bodo deležniki ravnali skladno s svojimi pristojnostmi, ob upoštevanju finančnega načrta, ki je v tabeli 5-9.</w:t>
      </w:r>
    </w:p>
    <w:p w:rsidR="00D91D1F" w:rsidRDefault="00D91D1F" w:rsidP="00D91D1F">
      <w:pPr>
        <w:pStyle w:val="Odstavekseznama"/>
        <w:rPr>
          <w:rFonts w:ascii="Arial" w:hAnsi="Arial" w:cs="Arial"/>
          <w:sz w:val="20"/>
          <w:szCs w:val="20"/>
        </w:rPr>
      </w:pPr>
    </w:p>
    <w:p w:rsidR="00E564A6" w:rsidRDefault="00E564A6" w:rsidP="00D91D1F">
      <w:pPr>
        <w:pStyle w:val="Odstavekseznama"/>
        <w:rPr>
          <w:rFonts w:ascii="Arial" w:hAnsi="Arial" w:cs="Arial"/>
          <w:sz w:val="20"/>
          <w:szCs w:val="20"/>
        </w:rPr>
      </w:pPr>
    </w:p>
    <w:p w:rsidR="00E564A6" w:rsidRPr="00E564A6" w:rsidRDefault="00E564A6" w:rsidP="00D91D1F">
      <w:pPr>
        <w:pStyle w:val="Odstavekseznama"/>
        <w:rPr>
          <w:rFonts w:ascii="Arial" w:hAnsi="Arial" w:cs="Arial"/>
          <w:sz w:val="20"/>
          <w:szCs w:val="20"/>
        </w:rPr>
      </w:pPr>
    </w:p>
    <w:p w:rsidR="00E706C0" w:rsidRDefault="00E706C0">
      <w:pPr>
        <w:suppressAutoHyphens w:val="0"/>
        <w:rPr>
          <w:rFonts w:ascii="Arial" w:hAnsi="Arial" w:cs="Arial"/>
          <w:b/>
          <w:sz w:val="20"/>
          <w:szCs w:val="20"/>
        </w:rPr>
      </w:pPr>
      <w:bookmarkStart w:id="75" w:name="_Toc427586087"/>
      <w:bookmarkStart w:id="76" w:name="_Toc427586243"/>
      <w:bookmarkStart w:id="77" w:name="_Toc427586297"/>
      <w:bookmarkStart w:id="78" w:name="_Toc427586088"/>
      <w:bookmarkStart w:id="79" w:name="_Toc427586244"/>
      <w:bookmarkStart w:id="80" w:name="_Toc427586298"/>
      <w:bookmarkStart w:id="81" w:name="_Toc427586089"/>
      <w:bookmarkStart w:id="82" w:name="_Toc427586245"/>
      <w:bookmarkStart w:id="83" w:name="_Toc427586299"/>
      <w:bookmarkStart w:id="84" w:name="_Toc427586090"/>
      <w:bookmarkStart w:id="85" w:name="_Toc427586246"/>
      <w:bookmarkStart w:id="86" w:name="_Toc427586300"/>
      <w:bookmarkStart w:id="87" w:name="_Toc443029071"/>
      <w:bookmarkEnd w:id="75"/>
      <w:bookmarkEnd w:id="76"/>
      <w:bookmarkEnd w:id="77"/>
      <w:bookmarkEnd w:id="78"/>
      <w:bookmarkEnd w:id="79"/>
      <w:bookmarkEnd w:id="80"/>
      <w:bookmarkEnd w:id="81"/>
      <w:bookmarkEnd w:id="82"/>
      <w:bookmarkEnd w:id="83"/>
      <w:bookmarkEnd w:id="84"/>
      <w:bookmarkEnd w:id="85"/>
      <w:bookmarkEnd w:id="86"/>
      <w:r>
        <w:br w:type="page"/>
      </w:r>
    </w:p>
    <w:p w:rsidR="00D91D1F" w:rsidRPr="00E564A6" w:rsidRDefault="00936357" w:rsidP="00E706C0">
      <w:pPr>
        <w:pStyle w:val="Naslov2"/>
        <w:ind w:left="567" w:hanging="567"/>
      </w:pPr>
      <w:bookmarkStart w:id="88" w:name="_Toc456688585"/>
      <w:r>
        <w:lastRenderedPageBreak/>
        <w:t>5.5</w:t>
      </w:r>
      <w:r w:rsidR="00E706C0">
        <w:tab/>
      </w:r>
      <w:r w:rsidR="00D91D1F" w:rsidRPr="00E564A6">
        <w:t>Zračni promet</w:t>
      </w:r>
      <w:bookmarkEnd w:id="87"/>
      <w:bookmarkEnd w:id="88"/>
    </w:p>
    <w:p w:rsidR="00D91D1F" w:rsidRPr="00E564A6" w:rsidRDefault="00D91D1F" w:rsidP="00D91D1F">
      <w:pPr>
        <w:jc w:val="both"/>
        <w:rPr>
          <w:rFonts w:ascii="Arial" w:hAnsi="Arial" w:cs="Arial"/>
          <w:sz w:val="20"/>
          <w:szCs w:val="20"/>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 xml:space="preserve">Tabela </w:t>
      </w:r>
      <w:r w:rsidR="00427B9B">
        <w:rPr>
          <w:rFonts w:ascii="Arial" w:hAnsi="Arial" w:cs="Arial"/>
          <w:noProof/>
          <w:sz w:val="20"/>
          <w:szCs w:val="20"/>
        </w:rPr>
        <w:t>5</w:t>
      </w:r>
      <w:r w:rsidRPr="00E564A6">
        <w:rPr>
          <w:rFonts w:ascii="Arial" w:hAnsi="Arial" w:cs="Arial"/>
          <w:sz w:val="20"/>
          <w:szCs w:val="20"/>
        </w:rPr>
        <w:noBreakHyphen/>
        <w:t>10</w:t>
      </w:r>
      <w:r w:rsidRPr="00E564A6">
        <w:rPr>
          <w:rFonts w:ascii="Arial" w:hAnsi="Arial" w:cs="Arial"/>
          <w:sz w:val="20"/>
          <w:szCs w:val="20"/>
          <w:lang w:eastAsia="sl-SI"/>
        </w:rPr>
        <w:t xml:space="preserve">: </w:t>
      </w:r>
      <w:r w:rsidRPr="00E564A6">
        <w:rPr>
          <w:rFonts w:ascii="Arial" w:hAnsi="Arial" w:cs="Arial"/>
          <w:sz w:val="20"/>
          <w:szCs w:val="20"/>
        </w:rPr>
        <w:t>Predvidena dinamika vlaganj, zračni promet, (v mio EUR)</w:t>
      </w:r>
    </w:p>
    <w:tbl>
      <w:tblPr>
        <w:tblW w:w="9155" w:type="dxa"/>
        <w:tblInd w:w="55" w:type="dxa"/>
        <w:tblCellMar>
          <w:left w:w="70" w:type="dxa"/>
          <w:right w:w="70" w:type="dxa"/>
        </w:tblCellMar>
        <w:tblLook w:val="04A0" w:firstRow="1" w:lastRow="0" w:firstColumn="1" w:lastColumn="0" w:noHBand="0" w:noVBand="1"/>
      </w:tblPr>
      <w:tblGrid>
        <w:gridCol w:w="390"/>
        <w:gridCol w:w="2216"/>
        <w:gridCol w:w="613"/>
        <w:gridCol w:w="613"/>
        <w:gridCol w:w="613"/>
        <w:gridCol w:w="613"/>
        <w:gridCol w:w="613"/>
        <w:gridCol w:w="613"/>
        <w:gridCol w:w="613"/>
        <w:gridCol w:w="1129"/>
        <w:gridCol w:w="1129"/>
      </w:tblGrid>
      <w:tr w:rsidR="00D91D1F" w:rsidRPr="00D91D1F" w:rsidTr="00BF1663">
        <w:trPr>
          <w:trHeight w:val="420"/>
        </w:trPr>
        <w:tc>
          <w:tcPr>
            <w:tcW w:w="39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 </w:t>
            </w:r>
          </w:p>
        </w:tc>
        <w:tc>
          <w:tcPr>
            <w:tcW w:w="2216"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rPr>
                <w:rFonts w:ascii="Arial" w:hAnsi="Arial" w:cs="Arial"/>
                <w:b/>
                <w:bCs/>
                <w:sz w:val="16"/>
                <w:szCs w:val="16"/>
                <w:lang w:eastAsia="sl-SI"/>
              </w:rPr>
            </w:pPr>
            <w:r w:rsidRPr="00D91D1F">
              <w:rPr>
                <w:rFonts w:ascii="Arial" w:hAnsi="Arial" w:cs="Arial"/>
                <w:b/>
                <w:bCs/>
                <w:sz w:val="16"/>
                <w:szCs w:val="16"/>
                <w:lang w:eastAsia="sl-SI"/>
              </w:rPr>
              <w:t>Zračni promet</w:t>
            </w:r>
          </w:p>
        </w:tc>
        <w:tc>
          <w:tcPr>
            <w:tcW w:w="613"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2016</w:t>
            </w:r>
          </w:p>
        </w:tc>
        <w:tc>
          <w:tcPr>
            <w:tcW w:w="613"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2017</w:t>
            </w:r>
          </w:p>
        </w:tc>
        <w:tc>
          <w:tcPr>
            <w:tcW w:w="613"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2018</w:t>
            </w:r>
          </w:p>
        </w:tc>
        <w:tc>
          <w:tcPr>
            <w:tcW w:w="613"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2019</w:t>
            </w:r>
          </w:p>
        </w:tc>
        <w:tc>
          <w:tcPr>
            <w:tcW w:w="613"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2020</w:t>
            </w:r>
          </w:p>
        </w:tc>
        <w:tc>
          <w:tcPr>
            <w:tcW w:w="613"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2021</w:t>
            </w:r>
          </w:p>
        </w:tc>
        <w:tc>
          <w:tcPr>
            <w:tcW w:w="613"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2022</w:t>
            </w:r>
          </w:p>
        </w:tc>
        <w:tc>
          <w:tcPr>
            <w:tcW w:w="1129"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Skupaj 2016-2022</w:t>
            </w:r>
          </w:p>
        </w:tc>
        <w:tc>
          <w:tcPr>
            <w:tcW w:w="1129" w:type="dxa"/>
            <w:tcBorders>
              <w:top w:val="single" w:sz="4" w:space="0" w:color="auto"/>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Skupaj 2023-2030</w:t>
            </w:r>
          </w:p>
        </w:tc>
      </w:tr>
      <w:tr w:rsidR="00D91D1F" w:rsidRPr="00D91D1F" w:rsidTr="00BF1663">
        <w:trPr>
          <w:trHeight w:val="210"/>
        </w:trPr>
        <w:tc>
          <w:tcPr>
            <w:tcW w:w="390" w:type="dxa"/>
            <w:tcBorders>
              <w:top w:val="nil"/>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w:t>
            </w:r>
          </w:p>
        </w:tc>
        <w:tc>
          <w:tcPr>
            <w:tcW w:w="2216"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rPr>
                <w:rFonts w:ascii="Arial" w:hAnsi="Arial" w:cs="Arial"/>
                <w:sz w:val="16"/>
                <w:szCs w:val="16"/>
                <w:lang w:eastAsia="sl-SI"/>
              </w:rPr>
            </w:pPr>
            <w:r w:rsidRPr="00D91D1F">
              <w:rPr>
                <w:rFonts w:ascii="Arial" w:hAnsi="Arial" w:cs="Arial"/>
                <w:sz w:val="16"/>
                <w:szCs w:val="16"/>
                <w:lang w:eastAsia="sl-SI"/>
              </w:rPr>
              <w:t>priprava</w:t>
            </w:r>
          </w:p>
        </w:tc>
        <w:tc>
          <w:tcPr>
            <w:tcW w:w="61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0,51</w:t>
            </w:r>
          </w:p>
        </w:tc>
        <w:tc>
          <w:tcPr>
            <w:tcW w:w="61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1,20</w:t>
            </w:r>
          </w:p>
        </w:tc>
        <w:tc>
          <w:tcPr>
            <w:tcW w:w="61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1,36</w:t>
            </w:r>
          </w:p>
        </w:tc>
        <w:tc>
          <w:tcPr>
            <w:tcW w:w="61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0,61</w:t>
            </w:r>
          </w:p>
        </w:tc>
        <w:tc>
          <w:tcPr>
            <w:tcW w:w="61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c>
          <w:tcPr>
            <w:tcW w:w="61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c>
          <w:tcPr>
            <w:tcW w:w="61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c>
          <w:tcPr>
            <w:tcW w:w="112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3,67</w:t>
            </w:r>
          </w:p>
        </w:tc>
        <w:tc>
          <w:tcPr>
            <w:tcW w:w="112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r>
      <w:tr w:rsidR="00D91D1F" w:rsidRPr="00D91D1F" w:rsidTr="00BF1663">
        <w:trPr>
          <w:trHeight w:val="210"/>
        </w:trPr>
        <w:tc>
          <w:tcPr>
            <w:tcW w:w="390" w:type="dxa"/>
            <w:tcBorders>
              <w:top w:val="nil"/>
              <w:left w:val="single" w:sz="4" w:space="0" w:color="auto"/>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2.</w:t>
            </w:r>
          </w:p>
        </w:tc>
        <w:tc>
          <w:tcPr>
            <w:tcW w:w="2216"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rPr>
                <w:rFonts w:ascii="Arial" w:hAnsi="Arial" w:cs="Arial"/>
                <w:sz w:val="16"/>
                <w:szCs w:val="16"/>
                <w:lang w:eastAsia="sl-SI"/>
              </w:rPr>
            </w:pPr>
            <w:r w:rsidRPr="00D91D1F">
              <w:rPr>
                <w:rFonts w:ascii="Arial" w:hAnsi="Arial" w:cs="Arial"/>
                <w:sz w:val="16"/>
                <w:szCs w:val="16"/>
                <w:lang w:eastAsia="sl-SI"/>
              </w:rPr>
              <w:t>izvedba</w:t>
            </w:r>
          </w:p>
        </w:tc>
        <w:tc>
          <w:tcPr>
            <w:tcW w:w="61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1,80</w:t>
            </w:r>
          </w:p>
        </w:tc>
        <w:tc>
          <w:tcPr>
            <w:tcW w:w="61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c>
          <w:tcPr>
            <w:tcW w:w="61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c>
          <w:tcPr>
            <w:tcW w:w="61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c>
          <w:tcPr>
            <w:tcW w:w="61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c>
          <w:tcPr>
            <w:tcW w:w="61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c>
          <w:tcPr>
            <w:tcW w:w="613"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c>
          <w:tcPr>
            <w:tcW w:w="112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1,80</w:t>
            </w:r>
          </w:p>
        </w:tc>
        <w:tc>
          <w:tcPr>
            <w:tcW w:w="1129" w:type="dxa"/>
            <w:tcBorders>
              <w:top w:val="nil"/>
              <w:left w:val="nil"/>
              <w:bottom w:val="single" w:sz="4" w:space="0" w:color="auto"/>
              <w:right w:val="single" w:sz="4" w:space="0" w:color="auto"/>
            </w:tcBorders>
            <w:shd w:val="clear" w:color="auto" w:fill="auto"/>
            <w:vAlign w:val="center"/>
            <w:hideMark/>
          </w:tcPr>
          <w:p w:rsidR="00D91D1F" w:rsidRPr="00D91D1F" w:rsidRDefault="00D91D1F" w:rsidP="00BF1663">
            <w:pPr>
              <w:suppressAutoHyphens w:val="0"/>
              <w:jc w:val="center"/>
              <w:rPr>
                <w:rFonts w:ascii="Arial" w:hAnsi="Arial" w:cs="Arial"/>
                <w:sz w:val="16"/>
                <w:szCs w:val="16"/>
                <w:lang w:eastAsia="sl-SI"/>
              </w:rPr>
            </w:pPr>
            <w:r w:rsidRPr="00D91D1F">
              <w:rPr>
                <w:rFonts w:ascii="Arial" w:hAnsi="Arial" w:cs="Arial"/>
                <w:sz w:val="16"/>
                <w:szCs w:val="16"/>
                <w:lang w:eastAsia="sl-SI"/>
              </w:rPr>
              <w:t>0,00</w:t>
            </w:r>
          </w:p>
        </w:tc>
      </w:tr>
      <w:tr w:rsidR="00D91D1F" w:rsidRPr="00D91D1F" w:rsidTr="00BF1663">
        <w:trPr>
          <w:trHeight w:val="210"/>
        </w:trPr>
        <w:tc>
          <w:tcPr>
            <w:tcW w:w="390" w:type="dxa"/>
            <w:tcBorders>
              <w:top w:val="nil"/>
              <w:left w:val="single" w:sz="4" w:space="0" w:color="auto"/>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3.</w:t>
            </w:r>
          </w:p>
        </w:tc>
        <w:tc>
          <w:tcPr>
            <w:tcW w:w="2216"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rPr>
                <w:rFonts w:ascii="Arial" w:hAnsi="Arial" w:cs="Arial"/>
                <w:b/>
                <w:bCs/>
                <w:sz w:val="16"/>
                <w:szCs w:val="16"/>
                <w:lang w:eastAsia="sl-SI"/>
              </w:rPr>
            </w:pPr>
            <w:r w:rsidRPr="00D91D1F">
              <w:rPr>
                <w:rFonts w:ascii="Arial" w:hAnsi="Arial" w:cs="Arial"/>
                <w:b/>
                <w:bCs/>
                <w:sz w:val="16"/>
                <w:szCs w:val="16"/>
                <w:lang w:eastAsia="sl-SI"/>
              </w:rPr>
              <w:t>Skupaj zračni promet (1+2)</w:t>
            </w:r>
          </w:p>
        </w:tc>
        <w:tc>
          <w:tcPr>
            <w:tcW w:w="613"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2,31</w:t>
            </w:r>
          </w:p>
        </w:tc>
        <w:tc>
          <w:tcPr>
            <w:tcW w:w="613"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1,20</w:t>
            </w:r>
          </w:p>
        </w:tc>
        <w:tc>
          <w:tcPr>
            <w:tcW w:w="613"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1,36</w:t>
            </w:r>
          </w:p>
        </w:tc>
        <w:tc>
          <w:tcPr>
            <w:tcW w:w="613"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0,61</w:t>
            </w:r>
          </w:p>
        </w:tc>
        <w:tc>
          <w:tcPr>
            <w:tcW w:w="613"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0,00</w:t>
            </w:r>
          </w:p>
        </w:tc>
        <w:tc>
          <w:tcPr>
            <w:tcW w:w="613"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0,00</w:t>
            </w:r>
          </w:p>
        </w:tc>
        <w:tc>
          <w:tcPr>
            <w:tcW w:w="613"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0,00</w:t>
            </w:r>
          </w:p>
        </w:tc>
        <w:tc>
          <w:tcPr>
            <w:tcW w:w="1129"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5,47</w:t>
            </w:r>
          </w:p>
        </w:tc>
        <w:tc>
          <w:tcPr>
            <w:tcW w:w="1129" w:type="dxa"/>
            <w:tcBorders>
              <w:top w:val="nil"/>
              <w:left w:val="nil"/>
              <w:bottom w:val="single" w:sz="4" w:space="0" w:color="auto"/>
              <w:right w:val="single" w:sz="4" w:space="0" w:color="auto"/>
            </w:tcBorders>
            <w:shd w:val="clear" w:color="000000" w:fill="D9D9D9"/>
            <w:vAlign w:val="center"/>
            <w:hideMark/>
          </w:tcPr>
          <w:p w:rsidR="00D91D1F" w:rsidRPr="00D91D1F" w:rsidRDefault="00D91D1F" w:rsidP="00BF1663">
            <w:pPr>
              <w:suppressAutoHyphens w:val="0"/>
              <w:jc w:val="center"/>
              <w:rPr>
                <w:rFonts w:ascii="Arial" w:hAnsi="Arial" w:cs="Arial"/>
                <w:b/>
                <w:bCs/>
                <w:sz w:val="16"/>
                <w:szCs w:val="16"/>
                <w:lang w:eastAsia="sl-SI"/>
              </w:rPr>
            </w:pPr>
            <w:r w:rsidRPr="00D91D1F">
              <w:rPr>
                <w:rFonts w:ascii="Arial" w:hAnsi="Arial" w:cs="Arial"/>
                <w:b/>
                <w:bCs/>
                <w:sz w:val="16"/>
                <w:szCs w:val="16"/>
                <w:lang w:eastAsia="sl-SI"/>
              </w:rPr>
              <w:t>0,00</w:t>
            </w:r>
          </w:p>
        </w:tc>
      </w:tr>
    </w:tbl>
    <w:p w:rsidR="00D91D1F" w:rsidRPr="00D91D1F" w:rsidRDefault="00D91D1F" w:rsidP="00D91D1F">
      <w:pPr>
        <w:jc w:val="both"/>
        <w:rPr>
          <w:rFonts w:ascii="Arial" w:hAnsi="Arial" w:cs="Arial"/>
          <w:szCs w:val="22"/>
        </w:rPr>
      </w:pPr>
    </w:p>
    <w:p w:rsidR="00D91D1F" w:rsidRPr="00E564A6" w:rsidRDefault="00D91D1F" w:rsidP="00D91D1F">
      <w:pPr>
        <w:jc w:val="both"/>
        <w:rPr>
          <w:rFonts w:ascii="Arial" w:hAnsi="Arial" w:cs="Arial"/>
          <w:sz w:val="20"/>
          <w:szCs w:val="22"/>
        </w:rPr>
      </w:pPr>
      <w:r w:rsidRPr="00E564A6">
        <w:rPr>
          <w:rFonts w:ascii="Arial" w:hAnsi="Arial" w:cs="Arial"/>
          <w:sz w:val="20"/>
          <w:szCs w:val="22"/>
        </w:rPr>
        <w:t>Vlaganja v letališko infrastrukturo so s strani države minimalna in za obdobje 2016–2022 znašajo 5,47 mio EUR. Glavnina vlaganj v letališko infrastrukturo bo s strani koncesionarja, skladno z njegovimi strateškimi in finančnimi načrti.</w:t>
      </w:r>
    </w:p>
    <w:p w:rsidR="00D91D1F" w:rsidRPr="00E564A6" w:rsidRDefault="00D91D1F" w:rsidP="00D91D1F">
      <w:pPr>
        <w:jc w:val="both"/>
        <w:rPr>
          <w:rFonts w:ascii="Arial" w:hAnsi="Arial" w:cs="Arial"/>
          <w:sz w:val="20"/>
          <w:szCs w:val="22"/>
        </w:rPr>
      </w:pPr>
    </w:p>
    <w:p w:rsidR="00D91D1F" w:rsidRPr="00E564A6" w:rsidRDefault="00D91D1F" w:rsidP="00D91D1F">
      <w:pPr>
        <w:jc w:val="both"/>
        <w:rPr>
          <w:rFonts w:ascii="Arial" w:hAnsi="Arial" w:cs="Arial"/>
          <w:sz w:val="20"/>
          <w:szCs w:val="22"/>
          <w:lang w:eastAsia="sl-SI"/>
        </w:rPr>
      </w:pPr>
      <w:r w:rsidRPr="00E564A6">
        <w:rPr>
          <w:rFonts w:ascii="Arial" w:hAnsi="Arial" w:cs="Arial"/>
          <w:sz w:val="20"/>
          <w:szCs w:val="22"/>
          <w:lang w:eastAsia="sl-SI"/>
        </w:rPr>
        <w:t xml:space="preserve">Nosilci aktivnosti izdelajo 6-letni načrt izvajanja aktivnosti, za katere so zadolženi in so razvidne iz priloge Nacionalnega programa. Ministrstvo, pristojno za promet, 6-letni načrt izvajanja aktivnosti iz prilog Nacionalnega programa združi in uskladi z ostalimi področji prometne infrastrukture in ga kot 6-letni operativni načrt posreduje v potrditev Vladi RS. </w:t>
      </w:r>
    </w:p>
    <w:p w:rsidR="00D91D1F" w:rsidRPr="00E564A6" w:rsidRDefault="00D91D1F" w:rsidP="00D91D1F">
      <w:pPr>
        <w:jc w:val="both"/>
        <w:rPr>
          <w:rFonts w:ascii="Arial" w:hAnsi="Arial" w:cs="Arial"/>
          <w:sz w:val="20"/>
          <w:szCs w:val="22"/>
        </w:rPr>
      </w:pPr>
    </w:p>
    <w:p w:rsidR="00D91D1F" w:rsidRPr="00E564A6" w:rsidRDefault="00D91D1F" w:rsidP="00D91D1F">
      <w:pPr>
        <w:jc w:val="both"/>
        <w:rPr>
          <w:rFonts w:ascii="Arial" w:hAnsi="Arial" w:cs="Arial"/>
          <w:sz w:val="20"/>
          <w:szCs w:val="22"/>
        </w:rPr>
      </w:pPr>
      <w:r w:rsidRPr="00E564A6">
        <w:rPr>
          <w:rFonts w:ascii="Arial" w:hAnsi="Arial" w:cs="Arial"/>
          <w:sz w:val="20"/>
          <w:szCs w:val="22"/>
        </w:rPr>
        <w:t xml:space="preserve">Temeljni cilji razvoja civilnega letalstva so varnost in zmanjšanje tveganj v civilnem letalstvu ter trajnostni razvoj in konkurenčnost. Za doseganje ciljev so določeni ukrepi, ki se nanašajo na prometno infrastrukturo v zračnem prometu in omogočajo tudi izvajanje komercialnih aktivnosti. Za vsa tri letališča (Jožeta Pučnika Ljubljana, Edvarda Rusjana Maribor in Portorož) je predvidena priprava državnega prostorskega načrta, ki bo glede na potrebe omogočil razvoj infrastrukture in dejavnosti, povezanih z zračnim prometom. </w:t>
      </w:r>
    </w:p>
    <w:p w:rsidR="00D91D1F" w:rsidRPr="00E564A6" w:rsidRDefault="00D91D1F" w:rsidP="00D91D1F">
      <w:pPr>
        <w:jc w:val="both"/>
        <w:rPr>
          <w:rFonts w:ascii="Arial" w:hAnsi="Arial" w:cs="Arial"/>
          <w:sz w:val="20"/>
          <w:szCs w:val="22"/>
        </w:rPr>
      </w:pPr>
    </w:p>
    <w:p w:rsidR="00D91D1F" w:rsidRPr="00E564A6" w:rsidRDefault="00D91D1F" w:rsidP="00D91D1F">
      <w:pPr>
        <w:jc w:val="both"/>
        <w:rPr>
          <w:rFonts w:ascii="Arial" w:hAnsi="Arial" w:cs="Arial"/>
          <w:sz w:val="20"/>
          <w:szCs w:val="20"/>
        </w:rPr>
      </w:pPr>
      <w:r w:rsidRPr="00E564A6">
        <w:rPr>
          <w:rFonts w:ascii="Arial" w:hAnsi="Arial" w:cs="Arial"/>
          <w:sz w:val="20"/>
          <w:szCs w:val="20"/>
        </w:rPr>
        <w:t>Med ukrepi so predvidene tudi gradnje, rekonstrukcije oziroma postavitve infrastrukturnih objektov, naprav in sistemov navigacijskih služb. Dodatno pa tudi polnilne postaje za alternativna goriva in napajanja letal z elektriko.</w:t>
      </w:r>
    </w:p>
    <w:p w:rsidR="00D91D1F" w:rsidRPr="00D91D1F" w:rsidRDefault="00D91D1F" w:rsidP="00D91D1F">
      <w:pPr>
        <w:jc w:val="both"/>
        <w:rPr>
          <w:rFonts w:ascii="Arial" w:hAnsi="Arial" w:cs="Arial"/>
          <w:b/>
          <w:szCs w:val="22"/>
          <w:lang w:eastAsia="sl-SI"/>
        </w:rPr>
      </w:pPr>
    </w:p>
    <w:p w:rsidR="00D91D1F" w:rsidRPr="00D91D1F" w:rsidRDefault="00D91D1F" w:rsidP="00C1387F">
      <w:pPr>
        <w:pStyle w:val="Naslov1"/>
        <w:numPr>
          <w:ilvl w:val="0"/>
          <w:numId w:val="20"/>
        </w:numPr>
        <w:suppressAutoHyphens/>
        <w:overflowPunct/>
        <w:autoSpaceDE/>
        <w:autoSpaceDN/>
        <w:adjustRightInd/>
        <w:textAlignment w:val="auto"/>
        <w:rPr>
          <w:caps/>
        </w:rPr>
        <w:sectPr w:rsidR="00D91D1F" w:rsidRPr="00D91D1F" w:rsidSect="00BF1663">
          <w:pgSz w:w="11906" w:h="16838"/>
          <w:pgMar w:top="1417" w:right="1417" w:bottom="1417" w:left="1417" w:header="708" w:footer="708" w:gutter="0"/>
          <w:cols w:space="708"/>
          <w:docGrid w:linePitch="360"/>
        </w:sectPr>
      </w:pPr>
      <w:bookmarkStart w:id="89" w:name="_Toc443029072"/>
    </w:p>
    <w:p w:rsidR="00D91D1F" w:rsidRPr="008661AD" w:rsidRDefault="00D91D1F" w:rsidP="00936357">
      <w:pPr>
        <w:pStyle w:val="Naslov"/>
        <w:numPr>
          <w:ilvl w:val="0"/>
          <w:numId w:val="27"/>
        </w:numPr>
        <w:ind w:left="567" w:hanging="567"/>
        <w:rPr>
          <w:rStyle w:val="Naslovknjige"/>
          <w:b/>
        </w:rPr>
      </w:pPr>
      <w:bookmarkStart w:id="90" w:name="_Toc456688586"/>
      <w:r w:rsidRPr="008661AD">
        <w:rPr>
          <w:rStyle w:val="Naslovknjige"/>
          <w:b/>
        </w:rPr>
        <w:lastRenderedPageBreak/>
        <w:t>FINANCIRANJE AKTIVNOSTI</w:t>
      </w:r>
      <w:bookmarkEnd w:id="89"/>
      <w:bookmarkEnd w:id="90"/>
    </w:p>
    <w:p w:rsidR="00D91D1F" w:rsidRPr="00D91D1F" w:rsidRDefault="00D91D1F" w:rsidP="00D91D1F">
      <w:pPr>
        <w:jc w:val="both"/>
        <w:rPr>
          <w:rFonts w:ascii="Arial" w:hAnsi="Arial" w:cs="Arial"/>
          <w:b/>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 xml:space="preserve">V prometnem sektorju so ključna področja, kjer država namenja svoja finančna sredstva naslednja: </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investiranje, vzdrževanje (redno in investicijsko) in upravljanje infrastrukture,</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subvencioniranje javnega prevoza (avtobusni, železniški in šolski prevozi) ter kompenzacije.</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V grobem so viri za vse naloge, ki jih je potrebno opraviti v prometnem sistemu, naslednji:</w:t>
      </w:r>
    </w:p>
    <w:p w:rsidR="00D91D1F" w:rsidRPr="00E564A6" w:rsidRDefault="00D91D1F" w:rsidP="00C1387F">
      <w:pPr>
        <w:numPr>
          <w:ilvl w:val="0"/>
          <w:numId w:val="13"/>
        </w:num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proračunska sredstva;</w:t>
      </w:r>
    </w:p>
    <w:p w:rsidR="00D91D1F" w:rsidRPr="00E564A6" w:rsidRDefault="00D91D1F" w:rsidP="00C1387F">
      <w:pPr>
        <w:numPr>
          <w:ilvl w:val="0"/>
          <w:numId w:val="13"/>
        </w:num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EU Sredstva;</w:t>
      </w:r>
    </w:p>
    <w:p w:rsidR="00D91D1F" w:rsidRPr="00E564A6" w:rsidRDefault="00D91D1F" w:rsidP="00C1387F">
      <w:pPr>
        <w:numPr>
          <w:ilvl w:val="0"/>
          <w:numId w:val="13"/>
        </w:num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neproračunski viri.</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4D661A" w:rsidRDefault="004D661A" w:rsidP="00E706C0">
      <w:pPr>
        <w:pStyle w:val="Naslov2"/>
        <w:ind w:left="567" w:hanging="567"/>
        <w:rPr>
          <w:lang w:eastAsia="sl-SI"/>
        </w:rPr>
      </w:pPr>
      <w:bookmarkStart w:id="91" w:name="_Toc456688587"/>
      <w:r w:rsidRPr="004D661A">
        <w:rPr>
          <w:lang w:eastAsia="sl-SI"/>
        </w:rPr>
        <w:t>6.</w:t>
      </w:r>
      <w:r w:rsidR="00E706C0">
        <w:rPr>
          <w:lang w:eastAsia="sl-SI"/>
        </w:rPr>
        <w:t>1</w:t>
      </w:r>
      <w:r w:rsidR="00E706C0">
        <w:rPr>
          <w:lang w:eastAsia="sl-SI"/>
        </w:rPr>
        <w:tab/>
      </w:r>
      <w:r w:rsidR="00D91D1F" w:rsidRPr="004D661A">
        <w:rPr>
          <w:lang w:eastAsia="sl-SI"/>
        </w:rPr>
        <w:t>Proračunska sredstva</w:t>
      </w:r>
      <w:bookmarkEnd w:id="91"/>
      <w:r w:rsidR="00D91D1F" w:rsidRPr="004D661A">
        <w:rPr>
          <w:lang w:eastAsia="sl-SI"/>
        </w:rPr>
        <w:t xml:space="preserve"> </w:t>
      </w:r>
    </w:p>
    <w:p w:rsidR="00D91D1F" w:rsidRPr="00E564A6" w:rsidRDefault="00D91D1F" w:rsidP="00D91D1F">
      <w:pPr>
        <w:suppressAutoHyphens w:val="0"/>
        <w:autoSpaceDE w:val="0"/>
        <w:autoSpaceDN w:val="0"/>
        <w:adjustRightInd w:val="0"/>
        <w:ind w:firstLine="360"/>
        <w:jc w:val="both"/>
        <w:rPr>
          <w:rFonts w:ascii="Arial" w:hAnsi="Arial" w:cs="Arial"/>
          <w:sz w:val="20"/>
          <w:szCs w:val="22"/>
          <w:lang w:eastAsia="sl-SI"/>
        </w:rPr>
      </w:pPr>
      <w:r w:rsidRPr="00E564A6">
        <w:rPr>
          <w:rFonts w:ascii="Arial" w:hAnsi="Arial" w:cs="Arial"/>
          <w:sz w:val="20"/>
          <w:szCs w:val="22"/>
          <w:lang w:eastAsia="sl-SI"/>
        </w:rPr>
        <w:t>Proračunska sredstva so v grobem razdeljena na:</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 xml:space="preserve">integralna sredstva, ki se namenjajo za financiranje (sofinanciranje) EU projektov, domačih projektov ter za redno vzdrževanje in ostale storitve; </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 xml:space="preserve">namenska sredstva, ki se namenjajo za financiranje (sofinanciranje) EU projektov, domačih projektov, za investicijsko vzdrževanje, gradnjo ter ostale storitve. </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4D661A" w:rsidRDefault="004D661A" w:rsidP="00E706C0">
      <w:pPr>
        <w:pStyle w:val="Naslov2"/>
        <w:ind w:left="567" w:hanging="567"/>
        <w:rPr>
          <w:lang w:eastAsia="sl-SI"/>
        </w:rPr>
      </w:pPr>
      <w:bookmarkStart w:id="92" w:name="_Toc456688588"/>
      <w:r w:rsidRPr="004D661A">
        <w:rPr>
          <w:lang w:eastAsia="sl-SI"/>
        </w:rPr>
        <w:t>6.</w:t>
      </w:r>
      <w:r w:rsidR="00E706C0">
        <w:rPr>
          <w:lang w:eastAsia="sl-SI"/>
        </w:rPr>
        <w:t>2</w:t>
      </w:r>
      <w:r w:rsidR="00E706C0">
        <w:rPr>
          <w:lang w:eastAsia="sl-SI"/>
        </w:rPr>
        <w:tab/>
      </w:r>
      <w:r w:rsidR="00D91D1F" w:rsidRPr="004D661A">
        <w:rPr>
          <w:lang w:eastAsia="sl-SI"/>
        </w:rPr>
        <w:t>EU sredstva</w:t>
      </w:r>
      <w:bookmarkEnd w:id="92"/>
    </w:p>
    <w:p w:rsidR="00D91D1F" w:rsidRPr="00E564A6" w:rsidRDefault="00D91D1F" w:rsidP="00C1387F">
      <w:pPr>
        <w:numPr>
          <w:ilvl w:val="0"/>
          <w:numId w:val="15"/>
        </w:num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sredstva kohezijske politike (opredeljena v okviru OP EKP 2014-2020): sredstva Kohezijskega sklada (KS) in Evropskega sklada za regionalni razvoj (ESRR);</w:t>
      </w:r>
    </w:p>
    <w:p w:rsidR="00D91D1F" w:rsidRPr="00E564A6" w:rsidRDefault="00D91D1F" w:rsidP="00C1387F">
      <w:pPr>
        <w:numPr>
          <w:ilvl w:val="0"/>
          <w:numId w:val="15"/>
        </w:num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sredstva notranje politike EU: IPE sredstva iz razpisa in IPE sredstva iz ti. nacionalne ovojnice.</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4D661A" w:rsidRDefault="004D661A" w:rsidP="00E706C0">
      <w:pPr>
        <w:pStyle w:val="Naslov2"/>
        <w:ind w:left="567" w:hanging="567"/>
        <w:rPr>
          <w:lang w:eastAsia="sl-SI"/>
        </w:rPr>
      </w:pPr>
      <w:bookmarkStart w:id="93" w:name="_Toc456688589"/>
      <w:r w:rsidRPr="004D661A">
        <w:rPr>
          <w:lang w:eastAsia="sl-SI"/>
        </w:rPr>
        <w:t>6.3</w:t>
      </w:r>
      <w:r w:rsidR="00E706C0">
        <w:rPr>
          <w:lang w:eastAsia="sl-SI"/>
        </w:rPr>
        <w:tab/>
      </w:r>
      <w:r w:rsidRPr="004D661A">
        <w:rPr>
          <w:lang w:eastAsia="sl-SI"/>
        </w:rPr>
        <w:t>N</w:t>
      </w:r>
      <w:r w:rsidR="00D91D1F" w:rsidRPr="004D661A">
        <w:rPr>
          <w:lang w:eastAsia="sl-SI"/>
        </w:rPr>
        <w:t>eproračunski viri (npr. viri DARS d.d., Luka Koper d.d. …)</w:t>
      </w:r>
      <w:bookmarkEnd w:id="93"/>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cestnina in drugi prihodki DARS d.d. (samo za investicije DARS d.d.),</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posojila EIB in drugih mednarodnih institucij,</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dolžniški vrednostni papirji,</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posojila komercialnih bank</w:t>
      </w:r>
      <w:r w:rsidR="00425C71" w:rsidRPr="004D661A">
        <w:rPr>
          <w:rFonts w:ascii="Arial" w:hAnsi="Arial" w:cs="Arial"/>
          <w:sz w:val="20"/>
          <w:szCs w:val="20"/>
        </w:rPr>
        <w:t>,</w:t>
      </w:r>
    </w:p>
    <w:p w:rsidR="00425C71"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pristojbine za financiranje javne službe</w:t>
      </w:r>
      <w:r w:rsidR="00425C71" w:rsidRPr="004D661A">
        <w:rPr>
          <w:rFonts w:ascii="Arial" w:hAnsi="Arial" w:cs="Arial"/>
          <w:sz w:val="20"/>
          <w:szCs w:val="20"/>
        </w:rPr>
        <w:t>,</w:t>
      </w:r>
    </w:p>
    <w:p w:rsidR="00425C71" w:rsidRPr="004D661A" w:rsidRDefault="00425C71" w:rsidP="004D661A">
      <w:pPr>
        <w:numPr>
          <w:ilvl w:val="0"/>
          <w:numId w:val="11"/>
        </w:numPr>
        <w:ind w:left="426" w:hanging="349"/>
        <w:jc w:val="both"/>
        <w:rPr>
          <w:rFonts w:ascii="Arial" w:hAnsi="Arial" w:cs="Arial"/>
          <w:sz w:val="20"/>
          <w:szCs w:val="20"/>
        </w:rPr>
      </w:pPr>
      <w:r w:rsidRPr="004D661A">
        <w:rPr>
          <w:rFonts w:ascii="Arial" w:hAnsi="Arial" w:cs="Arial"/>
          <w:sz w:val="20"/>
          <w:szCs w:val="20"/>
        </w:rPr>
        <w:t>lastna sredstva Luke Koper,</w:t>
      </w:r>
    </w:p>
    <w:p w:rsidR="00D91D1F" w:rsidRPr="004D661A" w:rsidRDefault="00425C71" w:rsidP="004D661A">
      <w:pPr>
        <w:numPr>
          <w:ilvl w:val="0"/>
          <w:numId w:val="11"/>
        </w:numPr>
        <w:ind w:left="426" w:hanging="349"/>
        <w:jc w:val="both"/>
        <w:rPr>
          <w:rFonts w:ascii="Arial" w:hAnsi="Arial" w:cs="Arial"/>
          <w:sz w:val="20"/>
          <w:szCs w:val="20"/>
        </w:rPr>
      </w:pPr>
      <w:r w:rsidRPr="004D661A">
        <w:rPr>
          <w:rFonts w:ascii="Arial" w:hAnsi="Arial" w:cs="Arial"/>
          <w:sz w:val="20"/>
          <w:szCs w:val="20"/>
        </w:rPr>
        <w:t xml:space="preserve">sredstva, ki jih Luka Koper pobira za vplutje v pristanišče, kjer izvaja vlogo </w:t>
      </w:r>
      <w:r w:rsidR="002E0F7D" w:rsidRPr="004D661A">
        <w:rPr>
          <w:rFonts w:ascii="Arial" w:hAnsi="Arial" w:cs="Arial"/>
          <w:sz w:val="20"/>
          <w:szCs w:val="20"/>
        </w:rPr>
        <w:t xml:space="preserve">pristaniške </w:t>
      </w:r>
      <w:r w:rsidRPr="004D661A">
        <w:rPr>
          <w:rFonts w:ascii="Arial" w:hAnsi="Arial" w:cs="Arial"/>
          <w:sz w:val="20"/>
          <w:szCs w:val="20"/>
        </w:rPr>
        <w:t xml:space="preserve"> uprave.</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Za financiranje projektov DARS-a na omrežju, za katerega je zadolžen, je potrebno zagotoviti tudi vsa ustrezna poroštva države. Ključni vir za poplačilo obveznosti iz naslova kreditov in dolžniških vrednostnih papirjev je cestnina, zato je pogoj za izvedbo projektov, da bodo le ti cestninjeni in ustrezen mehanizem prilagajanja višine cestnine, ki bo zagotavljal nemoteno servisiranje dolga.</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Skupno je bilo v letu 2015 porabljenih 860 mio EUR sredstev. Potrebno je om</w:t>
      </w:r>
      <w:r w:rsidR="00DE0C44">
        <w:rPr>
          <w:rFonts w:ascii="Arial" w:hAnsi="Arial" w:cs="Arial"/>
          <w:sz w:val="20"/>
          <w:szCs w:val="22"/>
          <w:lang w:eastAsia="sl-SI"/>
        </w:rPr>
        <w:t xml:space="preserve">eniti, da gre za leto, ko se je končalo </w:t>
      </w:r>
      <w:r w:rsidRPr="00E564A6">
        <w:rPr>
          <w:rFonts w:ascii="Arial" w:hAnsi="Arial" w:cs="Arial"/>
          <w:sz w:val="20"/>
          <w:szCs w:val="22"/>
          <w:lang w:eastAsia="sl-SI"/>
        </w:rPr>
        <w:t>črpanje sredstev iz predhodne finančne perspektive (2007–2013) in ko je potekal najbolj intenziven investicijski cikel do sedaj. Posebej visok je delež EU sreds</w:t>
      </w:r>
      <w:r w:rsidR="00DE0C44">
        <w:rPr>
          <w:rFonts w:ascii="Arial" w:hAnsi="Arial" w:cs="Arial"/>
          <w:sz w:val="20"/>
          <w:szCs w:val="22"/>
          <w:lang w:eastAsia="sl-SI"/>
        </w:rPr>
        <w:t>tev na področju železnic, ki je</w:t>
      </w:r>
      <w:r w:rsidRPr="00E564A6">
        <w:rPr>
          <w:rFonts w:ascii="Arial" w:hAnsi="Arial" w:cs="Arial"/>
          <w:sz w:val="20"/>
          <w:szCs w:val="22"/>
          <w:lang w:eastAsia="sl-SI"/>
        </w:rPr>
        <w:t xml:space="preserve"> v letu 2015 presegel 281 mio EUR. </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Srednjeročno se za realizacijo zastavljenih ciljev v prihodnje načrtujejo sredstva v višini cca 730 mio EUR na leto, pri čemer je to vrednost sredstev možno povečati tudi z aktiviranjem večjega obsega t.i. neproračunskih virov, npr. virov DARS d.d., Luke Koper, d.d. in Slovenskih železnic, d.o.o.</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Nosilci investicij morajo v primeru, da projekti ustrezajo osnovnim zahtevanim kriterijem, preveriti tudi ustreznost uporabe mehanizma EFSI</w:t>
      </w:r>
      <w:r w:rsidR="00E06303" w:rsidRPr="00E564A6">
        <w:rPr>
          <w:rFonts w:ascii="Arial" w:hAnsi="Arial" w:cs="Arial"/>
          <w:sz w:val="20"/>
          <w:szCs w:val="22"/>
          <w:lang w:eastAsia="sl-SI"/>
        </w:rPr>
        <w:t xml:space="preserve"> (European Fund for Strategic Investments - Evropski sklad za strateške naložbe)</w:t>
      </w:r>
      <w:r w:rsidRPr="00E564A6">
        <w:rPr>
          <w:rFonts w:ascii="Arial" w:hAnsi="Arial" w:cs="Arial"/>
          <w:sz w:val="20"/>
          <w:szCs w:val="22"/>
          <w:lang w:eastAsia="sl-SI"/>
        </w:rPr>
        <w:t>.</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Default="00D91D1F" w:rsidP="00D91D1F">
      <w:pPr>
        <w:suppressAutoHyphens w:val="0"/>
        <w:autoSpaceDE w:val="0"/>
        <w:autoSpaceDN w:val="0"/>
        <w:adjustRightInd w:val="0"/>
        <w:jc w:val="both"/>
        <w:rPr>
          <w:rFonts w:ascii="Arial" w:hAnsi="Arial" w:cs="Arial"/>
          <w:iCs/>
          <w:sz w:val="20"/>
        </w:rPr>
      </w:pPr>
      <w:r w:rsidRPr="00E564A6">
        <w:rPr>
          <w:rFonts w:ascii="Arial" w:hAnsi="Arial" w:cs="Arial"/>
          <w:sz w:val="20"/>
        </w:rPr>
        <w:t xml:space="preserve">Kot nalaga Strategija in v nadaljevanju Nacionalni program je treba za upravljanje obstoječe cestne infrastrukture izdelati 6-letni operativni načrt s prioritetno določitvijo ukrepov oz. investicij, vzdrževanja in razvoja infrastrukture na daljših cestnih odsekih. Investicije v obstoječo infrastrukturo se načrtuje za daljše časovno obdobje ob čemer je nujno zagotoviti stabilne dolgoročne vire financiranja. Enak pristop je nujen tudi za ohranjanje oz. izboljšanje stanja na področju obstoječe železniške infrastrukture. </w:t>
      </w:r>
      <w:r w:rsidRPr="00E564A6">
        <w:rPr>
          <w:rFonts w:ascii="Arial" w:hAnsi="Arial" w:cs="Arial"/>
          <w:iCs/>
          <w:sz w:val="20"/>
        </w:rPr>
        <w:t>Predpogoj za izvedbo prihodnjih projektov DARS d.d. pa je sprejem ustreznega Zakona o poroštvu za obveznosti DARS d.d. iz naslova kreditov in dolžniških vrednostnih papirjev najetih oz. izdanih za realizacijo gradnje in investicijskega vzdrževanja avtocest.</w:t>
      </w:r>
    </w:p>
    <w:p w:rsidR="0002546E" w:rsidRDefault="0002546E" w:rsidP="00D91D1F">
      <w:pPr>
        <w:suppressAutoHyphens w:val="0"/>
        <w:autoSpaceDE w:val="0"/>
        <w:autoSpaceDN w:val="0"/>
        <w:adjustRightInd w:val="0"/>
        <w:jc w:val="both"/>
        <w:rPr>
          <w:rFonts w:ascii="Arial" w:hAnsi="Arial" w:cs="Arial"/>
          <w:iCs/>
          <w:sz w:val="20"/>
        </w:rPr>
      </w:pPr>
    </w:p>
    <w:p w:rsidR="0002546E" w:rsidRPr="00E564A6" w:rsidRDefault="0002546E" w:rsidP="00D91D1F">
      <w:pPr>
        <w:suppressAutoHyphens w:val="0"/>
        <w:autoSpaceDE w:val="0"/>
        <w:autoSpaceDN w:val="0"/>
        <w:adjustRightInd w:val="0"/>
        <w:jc w:val="both"/>
        <w:rPr>
          <w:rFonts w:ascii="Arial" w:hAnsi="Arial" w:cs="Arial"/>
          <w:iCs/>
          <w:sz w:val="20"/>
        </w:rPr>
      </w:pPr>
      <w:r w:rsidRPr="0002546E">
        <w:rPr>
          <w:rFonts w:ascii="Arial" w:hAnsi="Arial" w:cs="Arial"/>
          <w:iCs/>
          <w:sz w:val="20"/>
        </w:rPr>
        <w:lastRenderedPageBreak/>
        <w:t>V kolikor javni koncesionar ostane razvrščen izven sektorja države, ga država ne sme v kakršnikoli obliki financirati več kot 50 %. Prav tako država ne sme zagotavljati eksplicitnega poroštva za več kot 50 % vrednosti sredstev.</w:t>
      </w:r>
    </w:p>
    <w:p w:rsidR="00D91D1F" w:rsidRPr="00E564A6" w:rsidRDefault="00D91D1F" w:rsidP="00D91D1F">
      <w:pPr>
        <w:suppressAutoHyphens w:val="0"/>
        <w:autoSpaceDE w:val="0"/>
        <w:autoSpaceDN w:val="0"/>
        <w:adjustRightInd w:val="0"/>
        <w:jc w:val="both"/>
        <w:rPr>
          <w:rFonts w:ascii="Arial" w:hAnsi="Arial" w:cs="Arial"/>
          <w:iCs/>
          <w:sz w:val="20"/>
        </w:rPr>
      </w:pPr>
    </w:p>
    <w:p w:rsidR="00D91D1F" w:rsidRPr="008661AD" w:rsidRDefault="00D91D1F" w:rsidP="00936357">
      <w:pPr>
        <w:pStyle w:val="Naslov"/>
        <w:numPr>
          <w:ilvl w:val="0"/>
          <w:numId w:val="27"/>
        </w:numPr>
        <w:ind w:left="567" w:hanging="567"/>
        <w:rPr>
          <w:rStyle w:val="Naslovknjige"/>
          <w:b/>
        </w:rPr>
      </w:pPr>
      <w:bookmarkStart w:id="94" w:name="_Toc427586093"/>
      <w:bookmarkStart w:id="95" w:name="_Toc427586249"/>
      <w:bookmarkStart w:id="96" w:name="_Toc427586303"/>
      <w:bookmarkStart w:id="97" w:name="_Toc427586094"/>
      <w:bookmarkStart w:id="98" w:name="_Toc427586250"/>
      <w:bookmarkStart w:id="99" w:name="_Toc427586304"/>
      <w:bookmarkStart w:id="100" w:name="_Toc427586095"/>
      <w:bookmarkStart w:id="101" w:name="_Toc427586251"/>
      <w:bookmarkStart w:id="102" w:name="_Toc427586305"/>
      <w:bookmarkStart w:id="103" w:name="_Toc427586096"/>
      <w:bookmarkStart w:id="104" w:name="_Toc427586252"/>
      <w:bookmarkStart w:id="105" w:name="_Toc427586306"/>
      <w:bookmarkStart w:id="106" w:name="_Toc427586097"/>
      <w:bookmarkStart w:id="107" w:name="_Toc427586253"/>
      <w:bookmarkStart w:id="108" w:name="_Toc427586307"/>
      <w:bookmarkStart w:id="109" w:name="_Toc427586098"/>
      <w:bookmarkStart w:id="110" w:name="_Toc427586254"/>
      <w:bookmarkStart w:id="111" w:name="_Toc427586308"/>
      <w:bookmarkStart w:id="112" w:name="_Toc427586099"/>
      <w:bookmarkStart w:id="113" w:name="_Toc427586255"/>
      <w:bookmarkStart w:id="114" w:name="_Toc427586309"/>
      <w:bookmarkStart w:id="115" w:name="_Toc427586100"/>
      <w:bookmarkStart w:id="116" w:name="_Toc427586256"/>
      <w:bookmarkStart w:id="117" w:name="_Toc427586310"/>
      <w:bookmarkStart w:id="118" w:name="_Toc427586101"/>
      <w:bookmarkStart w:id="119" w:name="_Toc427586257"/>
      <w:bookmarkStart w:id="120" w:name="_Toc427586311"/>
      <w:bookmarkStart w:id="121" w:name="_Toc427586102"/>
      <w:bookmarkStart w:id="122" w:name="_Toc427586258"/>
      <w:bookmarkStart w:id="123" w:name="_Toc427586312"/>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r w:rsidRPr="00D91D1F">
        <w:br w:type="page"/>
      </w:r>
      <w:bookmarkStart w:id="124" w:name="_Toc443029073"/>
      <w:bookmarkStart w:id="125" w:name="_Toc456688590"/>
      <w:r w:rsidRPr="008661AD">
        <w:rPr>
          <w:rStyle w:val="Naslovknjige"/>
          <w:b/>
        </w:rPr>
        <w:t>PRIČAKOVANI UČINKI IZVAJANJA UKREPOV IZ STRATEGIJE IN AKTIVNOSTI DOLOČENIH V NACIONALNEM PROGRAMU IN 6-LETNIH OPERATIVNIH NAČRT</w:t>
      </w:r>
      <w:bookmarkEnd w:id="124"/>
      <w:r w:rsidRPr="008661AD">
        <w:rPr>
          <w:rStyle w:val="Naslovknjige"/>
          <w:b/>
        </w:rPr>
        <w:t>IH</w:t>
      </w:r>
      <w:bookmarkEnd w:id="125"/>
    </w:p>
    <w:p w:rsidR="00D91D1F" w:rsidRPr="00D91D1F" w:rsidRDefault="00D91D1F" w:rsidP="00D91D1F">
      <w:pPr>
        <w:suppressAutoHyphens w:val="0"/>
        <w:autoSpaceDE w:val="0"/>
        <w:autoSpaceDN w:val="0"/>
        <w:adjustRightInd w:val="0"/>
        <w:jc w:val="both"/>
        <w:rPr>
          <w:rFonts w:ascii="Arial" w:hAnsi="Arial" w:cs="Arial"/>
          <w:szCs w:val="22"/>
          <w:lang w:eastAsia="sl-SI"/>
        </w:rPr>
      </w:pPr>
    </w:p>
    <w:p w:rsidR="00D91D1F"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Nacionalni program vsebuje več različnih aktivnosti na celotnem prometnem sistemu, kjer je ključni cilj doseči učinkovit prometni sistem, ki bo hkrati tudi ekonomsko, javnofinančno in okoljsko vzdržen.</w:t>
      </w:r>
    </w:p>
    <w:p w:rsidR="00FB3CF3" w:rsidRDefault="00FB3CF3" w:rsidP="00D91D1F">
      <w:pPr>
        <w:suppressAutoHyphens w:val="0"/>
        <w:autoSpaceDE w:val="0"/>
        <w:autoSpaceDN w:val="0"/>
        <w:adjustRightInd w:val="0"/>
        <w:jc w:val="both"/>
        <w:rPr>
          <w:rFonts w:ascii="Arial" w:hAnsi="Arial" w:cs="Arial"/>
          <w:sz w:val="20"/>
          <w:szCs w:val="22"/>
          <w:lang w:eastAsia="sl-SI"/>
        </w:rPr>
      </w:pPr>
    </w:p>
    <w:p w:rsidR="00FB3CF3" w:rsidRPr="00E87A04" w:rsidRDefault="00FB3CF3" w:rsidP="00FB3CF3">
      <w:pPr>
        <w:jc w:val="both"/>
        <w:rPr>
          <w:rFonts w:ascii="Arial" w:hAnsi="Arial" w:cs="Arial"/>
          <w:bCs/>
          <w:sz w:val="20"/>
          <w:szCs w:val="20"/>
        </w:rPr>
      </w:pPr>
      <w:r w:rsidRPr="00E87A04">
        <w:rPr>
          <w:rFonts w:ascii="Arial" w:hAnsi="Arial" w:cs="Arial"/>
          <w:bCs/>
          <w:sz w:val="20"/>
          <w:szCs w:val="20"/>
        </w:rPr>
        <w:t xml:space="preserve">Določitev prednostnih nalog na vseh področjih prometne infrastrukture mora temeljiti na objektivnih prometnih, tehničnih, ekonomskih in okoljskih merilih. </w:t>
      </w:r>
    </w:p>
    <w:p w:rsidR="00FB3CF3" w:rsidRPr="00E87A04" w:rsidRDefault="00FB3CF3" w:rsidP="00FB3CF3">
      <w:pPr>
        <w:jc w:val="both"/>
        <w:rPr>
          <w:rFonts w:ascii="Arial" w:hAnsi="Arial" w:cs="Arial"/>
          <w:sz w:val="20"/>
          <w:szCs w:val="20"/>
        </w:rPr>
      </w:pPr>
      <w:r w:rsidRPr="00E87A04">
        <w:rPr>
          <w:rFonts w:ascii="Arial" w:hAnsi="Arial" w:cs="Arial"/>
          <w:bCs/>
          <w:sz w:val="20"/>
          <w:szCs w:val="20"/>
        </w:rPr>
        <w:t xml:space="preserve">Pri odločanju o projektu morajo biti potrebe </w:t>
      </w:r>
      <w:r w:rsidRPr="00E87A04">
        <w:rPr>
          <w:rFonts w:ascii="Arial" w:hAnsi="Arial" w:cs="Arial"/>
          <w:sz w:val="20"/>
          <w:szCs w:val="20"/>
        </w:rPr>
        <w:t>jasno evidentirane in učinki ustrezno utemeljeni, torej morajo biti izbrani projekti, ki uporabnikom (ljudem in gospodarskim subjektom) zagotovijo predvsem neposredne učinke oziroma neposredne koristi.</w:t>
      </w:r>
    </w:p>
    <w:p w:rsidR="00FB3CF3" w:rsidRPr="00E87A04" w:rsidRDefault="00FB3CF3" w:rsidP="00FB3CF3">
      <w:pPr>
        <w:jc w:val="both"/>
        <w:rPr>
          <w:rFonts w:ascii="Arial" w:hAnsi="Arial" w:cs="Arial"/>
          <w:sz w:val="20"/>
          <w:szCs w:val="20"/>
        </w:rPr>
      </w:pPr>
      <w:r w:rsidRPr="00E87A04">
        <w:rPr>
          <w:rFonts w:ascii="Arial" w:hAnsi="Arial" w:cs="Arial"/>
          <w:bCs/>
          <w:sz w:val="20"/>
          <w:szCs w:val="20"/>
        </w:rPr>
        <w:t>Uporaba metode ekonomskega vrednotenja je nujna podlaga za odločanje o investicijah.</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Infrastruktura v vsaki državi igra pomembno vlogo pri razvoju družbe. Služi tako posameznikom kot tudi gospodarskim subjektom. Ustrezna infrastruktura, skupaj s funkcijami celotnega prometnega sistema, omogoča ljudem zadovoljevanje mobilnostnih potreb. Primerno infrastrukturo na EU nivoju tvori TEN-T omrežje, kjer je še posebej pomembno jedrno omrežje. To ključno omrežje za EU je dopolnjeno še s celovitim omrežjem. Za lažjo uresničitev zahtev so na nivoju EU oblikovani tudi koridorji jedrnega omrežja. Slovenija je del dveh takšnih koridorjev: Sredozemskega in Baltsko-jadranskega. Pri tem je potrebno poudariti, da je jedrno omrežje multimodalno, kar pomeni, da je vsak odsek takšnega omrežja sestavljen vsaj iz dveh načinov prometa: železnica in cesta, lahko pa je njegov sestavni del tudi rečni promet. Poleg tega za vsak način prometa veljajo TEN-T standardi, ki morajo biti uresničeni do leta 2030. S predlaganim Nacionalnim programom bo to tudi doseženo.</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Na področju avtocest Republika Slovenija zagotavlja zelo solidno omrežje. Ključni izziv na področju avtocest je tako nadaljnje zagotavljanje ustreznega standarda vzdrževanja vozišč in objektov. Eden pomembnih izzivov je tudi zagotavljanje ustrezne pretočnosti, varnosti in kakovostnih podatkov za uporabnike z ustreznimi sistemi vodenja in upravljanja prometa. Avtocestni sistem nudi zelo dobro dostopnost do posameznih področij ter dobro povezanost v evropskem avtocestnem prostoru. Visoki standardi varovanja okolja (predvsem zmanjšanje hrup</w:t>
      </w:r>
      <w:r w:rsidR="003C00BD">
        <w:rPr>
          <w:rFonts w:ascii="Arial" w:hAnsi="Arial" w:cs="Arial"/>
          <w:sz w:val="20"/>
          <w:szCs w:val="22"/>
          <w:lang w:eastAsia="sl-SI"/>
        </w:rPr>
        <w:t>a in preprečevanje izgube biotske raznovrstnosti in ekosistemskih storitev) ob avtocestah predstavljajo zahtevo sedanjega časa, ki izhaja med drugim tudi iz v letu 2015 sprejete Agende 2030 za trajnostni razoj.</w:t>
      </w:r>
      <w:r w:rsidRPr="00E564A6">
        <w:rPr>
          <w:rFonts w:ascii="Arial" w:hAnsi="Arial" w:cs="Arial"/>
          <w:sz w:val="20"/>
          <w:szCs w:val="22"/>
          <w:lang w:eastAsia="sl-SI"/>
        </w:rPr>
        <w:t xml:space="preserve"> </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Glavne in tudi regionalne ceste pa omogočajo povezovanje na regionalnem in lokalnem nivoju. Služijo za zagotavljanje dostopnosti in povezljivosti za prebivalstvo Republike Slovenije in oskrbo gospodarstva. Povezave morajo zagotavljati tudi primerno stopnjo varnosti vsem udeležencem v prometu. Na eni strani je na nivoju državnih cest potrebno omogočiti ustrezen standard dostopnosti (hitrost potovanja), na drugi stani pa je potrebno zagotoviti tudi ukrepe, ki denimo v naseljih uporabnikom omogočajo izboljšanje prometno</w:t>
      </w:r>
      <w:r w:rsidR="00A12279" w:rsidRPr="00E564A6">
        <w:rPr>
          <w:rFonts w:ascii="Arial" w:hAnsi="Arial" w:cs="Arial"/>
          <w:sz w:val="20"/>
          <w:szCs w:val="22"/>
          <w:lang w:eastAsia="sl-SI"/>
        </w:rPr>
        <w:t>-</w:t>
      </w:r>
      <w:r w:rsidRPr="00E564A6">
        <w:rPr>
          <w:rFonts w:ascii="Arial" w:hAnsi="Arial" w:cs="Arial"/>
          <w:sz w:val="20"/>
          <w:szCs w:val="22"/>
          <w:lang w:eastAsia="sl-SI"/>
        </w:rPr>
        <w:t xml:space="preserve">varnostnih razmer. </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Ključen segment aktivnosti je povezan tudi z zagotavljanjem ustreznega standarda investicijskega vzdrževanja cestne infrastrukture. Republika Slovenija ima z razvejanim več kot 6.000 km dolgim omrežjem nadpovprečno razvit državni cestni sistem glede na evropska poprečja, vendar je to logično glede na njeno razpršeno poseljenost. Ob sedanjem trendu pospešenega propadanja omrežja, se ta primerjalna prednost zmanjšuje. Za zaustavitev tega trenda je potrebno doseči stabilnost virov za obnove in investicijsko vzdrževanje infrastrukture.</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Železnice so sestavni del okostja javnega potniškega prometa, poleg tega pa služijo tovornemu prometu, predvsem na daljših, tranzitnih razdaljah. Ključni izzivi v razvoju železniškega sistema so predvsem povezani s postopnim odpravljam ozkih grl ter zagotovitvijo ustreznih TEN-T standardov. Ustrezno zagotavljanje kapacitet za tovorni promet in za razvoj javnega potniškega prometa na železnici prinaša koristi, tako neposrednim uporabnikom – potnikom kot tudi gospodarskim subjektom, ki lahko izkoristijo možnosti prevoza blaga po železnici. Posledično ukrepi, ki omogočajo zgoraj navedeno, predstavljajo zmanjševanje obremenjevanja okolja, predvsem onesnaževal in izpustov toplogrednih plinov.</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 xml:space="preserve">Nacionalni program predvideva številne zaporedne ukrepe na pristaniški infrastrukturi, glavnino posodobitev znotraj območja koncesije mora opraviti koncesionar, del ukrepov, izven območja koncesije pa mora opraviti Republika Slovenija. </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 xml:space="preserve">Na področju letališke infrastrukture pa se predvideva razvoj skladno z bodočim povpraševanjem. Država bo zagotovila le vodenje postopkov priprave državnih prostorskih načrtov, ki bodo potrebni in utemeljeni s pričakovanim razvojem gospodarskih subjektov. </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 xml:space="preserve">Celoten prometni sistem, tako infrastruktura kot delovanje sistema, mora slediti načelom, da bo sistem vse bolj vzdržen, da bodo subvencije v prometni sistem učinkovite, investicije pa ekonomsko in trajnostno vzdržne. Šele tak prometni sistem bo omogočal ustrezne koristi uporabnikom in družbi ter bo omogočil razvoj dejavnosti v prostoru. </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 xml:space="preserve">Eden od namenov Strategije in Nacionalnega programa je tudi ta, da se zagotovi vsebinska podlaga za zagotovitev stabilnih virov financiranja v najkrajšem času, kar bi omogočilo dokaj konstantno vzdrževanje in ohranjanje obstoječe infrastrukture ter istočasno investicijsko razvojno dejavnost, kot tudi vzporeden razvoj storitev prometnega sektorja. </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Proračun RS iz naslova prometa prejme prihodke, ki so v grobem prikazani v nadaljevanju:</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800–900 mio EUR/leto trošarine,</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146 mio EUR/leto nadomestilo za uporabo cest,</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9,5 mio EUR/leto uporabnine za železnice,</w:t>
      </w:r>
    </w:p>
    <w:p w:rsidR="00D91D1F" w:rsidRPr="004D661A" w:rsidRDefault="00D91D1F" w:rsidP="004D661A">
      <w:pPr>
        <w:numPr>
          <w:ilvl w:val="0"/>
          <w:numId w:val="11"/>
        </w:numPr>
        <w:ind w:left="426" w:hanging="349"/>
        <w:jc w:val="both"/>
        <w:rPr>
          <w:rFonts w:ascii="Arial" w:hAnsi="Arial" w:cs="Arial"/>
          <w:sz w:val="20"/>
          <w:szCs w:val="20"/>
        </w:rPr>
      </w:pPr>
      <w:r w:rsidRPr="004D661A">
        <w:rPr>
          <w:rFonts w:ascii="Arial" w:hAnsi="Arial" w:cs="Arial"/>
          <w:sz w:val="20"/>
          <w:szCs w:val="20"/>
        </w:rPr>
        <w:t>cca. 2 mio EUR/leto koncesijska dajatev in dividende iz dobička Luke Koper, d.d.</w:t>
      </w:r>
    </w:p>
    <w:p w:rsidR="00D91D1F" w:rsidRPr="00E564A6" w:rsidRDefault="00D91D1F" w:rsidP="00D91D1F">
      <w:pPr>
        <w:suppressAutoHyphens w:val="0"/>
        <w:autoSpaceDE w:val="0"/>
        <w:autoSpaceDN w:val="0"/>
        <w:adjustRightInd w:val="0"/>
        <w:ind w:left="720"/>
        <w:jc w:val="both"/>
        <w:rPr>
          <w:rFonts w:ascii="Arial" w:hAnsi="Arial" w:cs="Arial"/>
          <w:sz w:val="20"/>
          <w:szCs w:val="22"/>
          <w:lang w:eastAsia="sl-SI"/>
        </w:rPr>
      </w:pP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r w:rsidRPr="00E564A6">
        <w:rPr>
          <w:rFonts w:ascii="Arial" w:hAnsi="Arial" w:cs="Arial"/>
          <w:sz w:val="20"/>
          <w:szCs w:val="22"/>
          <w:lang w:eastAsia="sl-SI"/>
        </w:rPr>
        <w:t>Iz zgornjega sledi, da proračun RS iz naslova prometa prejme prihodke v višini okrog 1 mrd EUR/leto. Celotna vlaganja iz proračuna v infrastrukturo, z vključenimi subvencijami in kompenzacijami pa, skladno z dinamiko Nacionalnega programa, znašajo dobrih 700 mio EUR povprečno na leto. Promet prispeva 6 % v bruto domači proizvod, poleg tega pa 60 % delavcev v gradbeništvu dela na področju vzdrževanja in gradnje infrastrukture.</w:t>
      </w:r>
    </w:p>
    <w:p w:rsidR="00D91D1F" w:rsidRPr="00E564A6" w:rsidRDefault="00D91D1F" w:rsidP="00D91D1F">
      <w:pPr>
        <w:suppressAutoHyphens w:val="0"/>
        <w:autoSpaceDE w:val="0"/>
        <w:autoSpaceDN w:val="0"/>
        <w:adjustRightInd w:val="0"/>
        <w:jc w:val="both"/>
        <w:rPr>
          <w:rFonts w:ascii="Arial" w:hAnsi="Arial" w:cs="Arial"/>
          <w:sz w:val="20"/>
          <w:szCs w:val="22"/>
          <w:lang w:eastAsia="sl-SI"/>
        </w:rPr>
      </w:pPr>
    </w:p>
    <w:p w:rsidR="00D91D1F" w:rsidRDefault="00D91D1F" w:rsidP="00D91D1F">
      <w:pPr>
        <w:suppressAutoHyphens w:val="0"/>
        <w:autoSpaceDE w:val="0"/>
        <w:autoSpaceDN w:val="0"/>
        <w:adjustRightInd w:val="0"/>
        <w:jc w:val="both"/>
        <w:rPr>
          <w:rFonts w:ascii="Arial" w:hAnsi="Arial" w:cs="Arial"/>
          <w:sz w:val="20"/>
        </w:rPr>
      </w:pPr>
      <w:r w:rsidRPr="00E564A6">
        <w:rPr>
          <w:rFonts w:ascii="Arial" w:hAnsi="Arial" w:cs="Arial"/>
          <w:sz w:val="20"/>
          <w:szCs w:val="22"/>
          <w:lang w:eastAsia="sl-SI"/>
        </w:rPr>
        <w:t>Po izkušnjah iz finančne perspektive 2007</w:t>
      </w:r>
      <w:r w:rsidRPr="00E564A6">
        <w:rPr>
          <w:rFonts w:ascii="Arial" w:hAnsi="Arial" w:cs="Arial"/>
          <w:sz w:val="20"/>
        </w:rPr>
        <w:t>–</w:t>
      </w:r>
      <w:r w:rsidRPr="00E564A6">
        <w:rPr>
          <w:rFonts w:ascii="Arial" w:hAnsi="Arial" w:cs="Arial"/>
          <w:sz w:val="20"/>
          <w:szCs w:val="22"/>
          <w:lang w:eastAsia="sl-SI"/>
        </w:rPr>
        <w:t xml:space="preserve">2013 so relativno visoka vlaganja v infrastrukturo doprinesla k povišanju BDP-ja, kar izhaja tudi iz Pomladanske napovedi gospodarskih gibanj UMAR, marec 2015. V letih 2013–2015 so k temu zagotovo bistveno prispevala tudi vlaganja v prometno (železniško) infrastrukturo, ki jih ni možno nadomestiti z vlaganji v kakšno drugo področje. Zato je potrebno njihovo kontinuiteto zadržati, če želimo ohraniti gospodarsko rast. K temu bo zagotovo prispeval sprejem Nacionalnega programa z jasnim sporočilom o kontinuiteti in enakomernosti potrebnih virov sredstev za vlaganja v prometni sektor. </w:t>
      </w:r>
      <w:r w:rsidRPr="00E564A6">
        <w:rPr>
          <w:rFonts w:ascii="Arial" w:hAnsi="Arial" w:cs="Arial"/>
          <w:sz w:val="20"/>
        </w:rPr>
        <w:t>V okviru nove finančne perspektive 2014–2020 je Sloveniji za izvajanje kohezijske politike na razpolago manj sredstev kot v predhodni, poleg tega bodo ta sredstva infrastrukturnim projektom namenjena v manjši meri kot doslej. Hkrati je v začetnem obdobju verjetno treba pričakovati zamik pri črpanju, ki je bil značilen tudi v prejšnjem programskem obdobju. Zaradi tega bi bilo priporočljivo zagotavljati kontinuiteto vlaganj v prometno infrastrukturo tako, da se vlaganja v letih 2016 oz. 2017 najprej pričnejo v obstoječo prometno infrastrukturo iz proračuna RS in nato nadaljuje z investicijami, za katere je možno črpati sredstva EU.</w:t>
      </w:r>
    </w:p>
    <w:p w:rsidR="00814A93" w:rsidRDefault="00814A93" w:rsidP="00D91D1F">
      <w:pPr>
        <w:suppressAutoHyphens w:val="0"/>
        <w:autoSpaceDE w:val="0"/>
        <w:autoSpaceDN w:val="0"/>
        <w:adjustRightInd w:val="0"/>
        <w:jc w:val="both"/>
        <w:rPr>
          <w:rFonts w:ascii="Arial" w:hAnsi="Arial" w:cs="Arial"/>
          <w:sz w:val="20"/>
        </w:rPr>
      </w:pPr>
    </w:p>
    <w:p w:rsidR="00814A93" w:rsidRPr="00E564A6" w:rsidRDefault="00814A93" w:rsidP="00D91D1F">
      <w:pPr>
        <w:suppressAutoHyphens w:val="0"/>
        <w:autoSpaceDE w:val="0"/>
        <w:autoSpaceDN w:val="0"/>
        <w:adjustRightInd w:val="0"/>
        <w:jc w:val="both"/>
        <w:rPr>
          <w:rFonts w:ascii="Arial" w:hAnsi="Arial" w:cs="Arial"/>
          <w:sz w:val="20"/>
        </w:rPr>
      </w:pPr>
    </w:p>
    <w:p w:rsidR="00D91D1F" w:rsidRPr="008661AD" w:rsidRDefault="00D91D1F" w:rsidP="00936357">
      <w:pPr>
        <w:pStyle w:val="Naslov"/>
        <w:numPr>
          <w:ilvl w:val="0"/>
          <w:numId w:val="27"/>
        </w:numPr>
        <w:ind w:left="567" w:hanging="567"/>
        <w:rPr>
          <w:rStyle w:val="Naslovknjige"/>
          <w:b/>
        </w:rPr>
      </w:pPr>
      <w:r w:rsidRPr="00D91D1F">
        <w:rPr>
          <w:color w:val="31849B"/>
          <w:szCs w:val="22"/>
          <w:lang w:eastAsia="sl-SI"/>
        </w:rPr>
        <w:br w:type="page"/>
      </w:r>
      <w:bookmarkStart w:id="126" w:name="_Toc443029074"/>
      <w:bookmarkStart w:id="127" w:name="_Toc456688591"/>
      <w:r w:rsidRPr="008661AD">
        <w:rPr>
          <w:rStyle w:val="Naslovknjige"/>
          <w:b/>
        </w:rPr>
        <w:t>NAČRTOVANJE, NADZOR IN SPREMLJANJE IZVAJANJA NACIONALNEGA PROGRAMA</w:t>
      </w:r>
      <w:bookmarkEnd w:id="126"/>
      <w:bookmarkEnd w:id="127"/>
    </w:p>
    <w:p w:rsidR="00D91D1F" w:rsidRPr="00D91D1F" w:rsidRDefault="00D91D1F" w:rsidP="00D91D1F">
      <w:pPr>
        <w:suppressAutoHyphens w:val="0"/>
        <w:autoSpaceDE w:val="0"/>
        <w:autoSpaceDN w:val="0"/>
        <w:adjustRightInd w:val="0"/>
        <w:jc w:val="both"/>
        <w:rPr>
          <w:rFonts w:ascii="Arial" w:hAnsi="Arial" w:cs="Arial"/>
          <w:szCs w:val="22"/>
          <w:lang w:eastAsia="sl-SI"/>
        </w:rPr>
      </w:pPr>
    </w:p>
    <w:p w:rsidR="00D91D1F" w:rsidRPr="00495FDC" w:rsidRDefault="00D91D1F" w:rsidP="00D91D1F">
      <w:pPr>
        <w:suppressAutoHyphens w:val="0"/>
        <w:autoSpaceDE w:val="0"/>
        <w:autoSpaceDN w:val="0"/>
        <w:adjustRightInd w:val="0"/>
        <w:jc w:val="both"/>
        <w:rPr>
          <w:rFonts w:ascii="Arial" w:hAnsi="Arial" w:cs="Arial"/>
          <w:sz w:val="20"/>
          <w:szCs w:val="20"/>
          <w:lang w:eastAsia="sl-SI"/>
        </w:rPr>
      </w:pPr>
      <w:r w:rsidRPr="00495FDC">
        <w:rPr>
          <w:rFonts w:ascii="Arial" w:hAnsi="Arial" w:cs="Arial"/>
          <w:sz w:val="20"/>
          <w:szCs w:val="20"/>
          <w:lang w:eastAsia="sl-SI"/>
        </w:rPr>
        <w:t xml:space="preserve">Ministrstvo, pristojno za promet bo oblikovalo ustrezen interni postopek in vzpostavilo ustrezno interno strukturo za načrtovanje, spremljanje in nadzor uresničevanja tega Nacionalnega programa. </w:t>
      </w:r>
    </w:p>
    <w:p w:rsidR="00D91D1F" w:rsidRPr="00495FDC" w:rsidRDefault="00D91D1F" w:rsidP="00D91D1F">
      <w:pPr>
        <w:suppressAutoHyphens w:val="0"/>
        <w:autoSpaceDE w:val="0"/>
        <w:autoSpaceDN w:val="0"/>
        <w:adjustRightInd w:val="0"/>
        <w:jc w:val="both"/>
        <w:rPr>
          <w:rFonts w:ascii="Arial" w:hAnsi="Arial" w:cs="Arial"/>
          <w:sz w:val="20"/>
          <w:szCs w:val="20"/>
          <w:lang w:eastAsia="sl-SI"/>
        </w:rPr>
      </w:pPr>
    </w:p>
    <w:p w:rsidR="00D91D1F" w:rsidRPr="00495FDC" w:rsidRDefault="00D91D1F" w:rsidP="00D91D1F">
      <w:pPr>
        <w:suppressAutoHyphens w:val="0"/>
        <w:autoSpaceDE w:val="0"/>
        <w:autoSpaceDN w:val="0"/>
        <w:adjustRightInd w:val="0"/>
        <w:jc w:val="both"/>
        <w:rPr>
          <w:rFonts w:ascii="Arial" w:hAnsi="Arial" w:cs="Arial"/>
          <w:sz w:val="20"/>
          <w:szCs w:val="20"/>
          <w:lang w:eastAsia="sl-SI"/>
        </w:rPr>
      </w:pPr>
      <w:r w:rsidRPr="00495FDC">
        <w:rPr>
          <w:rFonts w:ascii="Arial" w:hAnsi="Arial" w:cs="Arial"/>
          <w:sz w:val="20"/>
          <w:szCs w:val="20"/>
          <w:lang w:eastAsia="sl-SI"/>
        </w:rPr>
        <w:t>Ministrstvo, pristojno za promet v sodelovanju z deležniki na področju prometnega sistema, pripravi tudi poročilo, s katerim se o rezultatih izvajanja Nacionalnega programa in doseženih ciljih poroča Vladi RS in Državnemu zboru RS.</w:t>
      </w:r>
    </w:p>
    <w:p w:rsidR="00D91D1F" w:rsidRPr="00495FDC" w:rsidRDefault="00D91D1F" w:rsidP="00D91D1F">
      <w:pPr>
        <w:suppressAutoHyphens w:val="0"/>
        <w:autoSpaceDE w:val="0"/>
        <w:autoSpaceDN w:val="0"/>
        <w:adjustRightInd w:val="0"/>
        <w:jc w:val="both"/>
        <w:rPr>
          <w:rFonts w:ascii="Arial" w:hAnsi="Arial" w:cs="Arial"/>
          <w:sz w:val="20"/>
          <w:szCs w:val="20"/>
          <w:lang w:eastAsia="sl-SI"/>
        </w:rPr>
      </w:pPr>
    </w:p>
    <w:p w:rsidR="00D91D1F" w:rsidRPr="00495FDC" w:rsidRDefault="00D91D1F" w:rsidP="00D91D1F">
      <w:pPr>
        <w:suppressAutoHyphens w:val="0"/>
        <w:autoSpaceDE w:val="0"/>
        <w:autoSpaceDN w:val="0"/>
        <w:adjustRightInd w:val="0"/>
        <w:jc w:val="both"/>
        <w:rPr>
          <w:rFonts w:ascii="Arial" w:hAnsi="Arial" w:cs="Arial"/>
          <w:sz w:val="20"/>
          <w:szCs w:val="20"/>
          <w:lang w:eastAsia="sl-SI"/>
        </w:rPr>
      </w:pPr>
      <w:r w:rsidRPr="00495FDC">
        <w:rPr>
          <w:rFonts w:ascii="Arial" w:hAnsi="Arial" w:cs="Arial"/>
          <w:sz w:val="20"/>
          <w:szCs w:val="20"/>
          <w:lang w:eastAsia="sl-SI"/>
        </w:rPr>
        <w:t xml:space="preserve">Nosilci aktivnosti, navedeni v prilogi Nacionalnega programa vsako leto pripravijo predlog 6-letnega načrta vlaganj v prometno infrastrukturo, kot je to opisano v prejšnjih poglavjih. </w:t>
      </w:r>
    </w:p>
    <w:p w:rsidR="00D91D1F" w:rsidRPr="00495FDC" w:rsidRDefault="00D91D1F" w:rsidP="00D91D1F">
      <w:pPr>
        <w:suppressAutoHyphens w:val="0"/>
        <w:autoSpaceDE w:val="0"/>
        <w:autoSpaceDN w:val="0"/>
        <w:adjustRightInd w:val="0"/>
        <w:jc w:val="both"/>
        <w:rPr>
          <w:rFonts w:ascii="Arial" w:hAnsi="Arial" w:cs="Arial"/>
          <w:sz w:val="20"/>
          <w:szCs w:val="20"/>
          <w:lang w:eastAsia="sl-SI"/>
        </w:rPr>
      </w:pPr>
    </w:p>
    <w:p w:rsidR="00D91D1F" w:rsidRPr="00495FDC" w:rsidRDefault="00D91D1F" w:rsidP="00D91D1F">
      <w:pPr>
        <w:suppressAutoHyphens w:val="0"/>
        <w:autoSpaceDE w:val="0"/>
        <w:autoSpaceDN w:val="0"/>
        <w:adjustRightInd w:val="0"/>
        <w:jc w:val="both"/>
        <w:rPr>
          <w:rFonts w:ascii="Arial" w:hAnsi="Arial" w:cs="Arial"/>
          <w:sz w:val="20"/>
          <w:szCs w:val="20"/>
          <w:lang w:eastAsia="sl-SI"/>
        </w:rPr>
      </w:pPr>
      <w:r w:rsidRPr="00495FDC">
        <w:rPr>
          <w:rFonts w:ascii="Arial" w:hAnsi="Arial" w:cs="Arial"/>
          <w:sz w:val="20"/>
          <w:szCs w:val="20"/>
          <w:lang w:eastAsia="sl-SI"/>
        </w:rPr>
        <w:t xml:space="preserve">Ministrstvo, pristojno za promet v sodelovanju z družbo DRI upravljanje investicij, d.o.o., 6-letne načrte posameznih področij združi, uskladi in enoten 6-letni operativni načrt vsako leto posreduje v potrditev Vladi RS, skupaj s poročilom o realizaciji. </w:t>
      </w:r>
    </w:p>
    <w:p w:rsidR="00D91D1F" w:rsidRPr="00495FDC" w:rsidRDefault="00D91D1F" w:rsidP="00D91D1F">
      <w:pPr>
        <w:suppressAutoHyphens w:val="0"/>
        <w:autoSpaceDE w:val="0"/>
        <w:autoSpaceDN w:val="0"/>
        <w:adjustRightInd w:val="0"/>
        <w:jc w:val="both"/>
        <w:rPr>
          <w:rFonts w:ascii="Arial" w:hAnsi="Arial" w:cs="Arial"/>
          <w:sz w:val="20"/>
          <w:szCs w:val="20"/>
        </w:rPr>
      </w:pPr>
    </w:p>
    <w:p w:rsidR="00D91D1F" w:rsidRPr="00495FDC" w:rsidRDefault="00D91D1F" w:rsidP="00D91D1F">
      <w:pPr>
        <w:suppressAutoHyphens w:val="0"/>
        <w:autoSpaceDE w:val="0"/>
        <w:autoSpaceDN w:val="0"/>
        <w:adjustRightInd w:val="0"/>
        <w:jc w:val="both"/>
        <w:rPr>
          <w:rFonts w:ascii="Arial" w:hAnsi="Arial" w:cs="Arial"/>
          <w:sz w:val="20"/>
          <w:szCs w:val="20"/>
          <w:lang w:eastAsia="sl-SI"/>
        </w:rPr>
      </w:pPr>
      <w:r w:rsidRPr="00495FDC">
        <w:rPr>
          <w:rFonts w:ascii="Arial" w:hAnsi="Arial" w:cs="Arial"/>
          <w:sz w:val="20"/>
          <w:szCs w:val="20"/>
          <w:lang w:eastAsia="sl-SI"/>
        </w:rPr>
        <w:t>Družba DRI upravljanje investicij, d.o.o., ki je v 100% državni lasti bo skrbela za posodabljanje in ažuriranje baze podatkov za nacionalni prometni model, ki bodo podlaga za novelacijo podatkov v Nacionalnem programu in 6-letnem operativnem načrtu.</w:t>
      </w:r>
    </w:p>
    <w:p w:rsidR="00D91D1F" w:rsidRPr="00495FDC" w:rsidRDefault="00D91D1F" w:rsidP="00D91D1F">
      <w:pPr>
        <w:suppressAutoHyphens w:val="0"/>
        <w:autoSpaceDE w:val="0"/>
        <w:autoSpaceDN w:val="0"/>
        <w:adjustRightInd w:val="0"/>
        <w:jc w:val="both"/>
        <w:rPr>
          <w:rFonts w:ascii="Arial" w:hAnsi="Arial" w:cs="Arial"/>
          <w:sz w:val="20"/>
          <w:szCs w:val="20"/>
          <w:lang w:eastAsia="sl-SI"/>
        </w:rPr>
      </w:pPr>
    </w:p>
    <w:p w:rsidR="00D91D1F" w:rsidRPr="00495FDC" w:rsidRDefault="00D91D1F" w:rsidP="00D91D1F">
      <w:pPr>
        <w:suppressAutoHyphens w:val="0"/>
        <w:autoSpaceDE w:val="0"/>
        <w:autoSpaceDN w:val="0"/>
        <w:adjustRightInd w:val="0"/>
        <w:jc w:val="both"/>
        <w:rPr>
          <w:rFonts w:ascii="Arial" w:hAnsi="Arial" w:cs="Arial"/>
          <w:sz w:val="20"/>
          <w:szCs w:val="20"/>
          <w:lang w:eastAsia="sl-SI"/>
        </w:rPr>
      </w:pPr>
      <w:r w:rsidRPr="00495FDC">
        <w:rPr>
          <w:rFonts w:ascii="Arial" w:hAnsi="Arial" w:cs="Arial"/>
          <w:sz w:val="20"/>
          <w:szCs w:val="20"/>
          <w:lang w:eastAsia="sl-SI"/>
        </w:rPr>
        <w:t xml:space="preserve">V roku petih let navedeni deležniki in ministrstvo, odgovorno za promet, pripravijo celovit pregled izvajanja Nacionalnega programa razvoja prometa, vključno z analizo stanja in opredelitvijo problematike s pomočjo nacionalnega prometnega modela, pregledom okoljskih, prostorskih in drugih ciljev, domače in EU zakonodaje na tem področju, mednarodnih predpisov ter ostalih relevantnih podlag. O pregledu poročajo Vladi RS in Državnemu zboru RS ter po potrebi predlagajo pripravo novega Nacionalnega programa. </w:t>
      </w:r>
    </w:p>
    <w:p w:rsidR="00D91D1F" w:rsidRPr="00D91D1F" w:rsidRDefault="00D91D1F" w:rsidP="00D91D1F">
      <w:pPr>
        <w:suppressAutoHyphens w:val="0"/>
        <w:autoSpaceDE w:val="0"/>
        <w:autoSpaceDN w:val="0"/>
        <w:adjustRightInd w:val="0"/>
        <w:jc w:val="both"/>
        <w:rPr>
          <w:rFonts w:ascii="Arial" w:hAnsi="Arial" w:cs="Arial"/>
          <w:szCs w:val="22"/>
          <w:lang w:eastAsia="sl-SI"/>
        </w:rPr>
      </w:pPr>
    </w:p>
    <w:p w:rsidR="00D91D1F" w:rsidRPr="00E564A6" w:rsidRDefault="00E564A6" w:rsidP="00E564A6">
      <w:pPr>
        <w:suppressAutoHyphens w:val="0"/>
        <w:rPr>
          <w:rFonts w:ascii="Arial" w:hAnsi="Arial" w:cs="Arial"/>
          <w:szCs w:val="22"/>
          <w:lang w:eastAsia="sl-SI"/>
        </w:rPr>
      </w:pPr>
      <w:r>
        <w:rPr>
          <w:rFonts w:ascii="Arial" w:hAnsi="Arial" w:cs="Arial"/>
          <w:szCs w:val="22"/>
          <w:lang w:eastAsia="sl-SI"/>
        </w:rPr>
        <w:br w:type="page"/>
      </w:r>
    </w:p>
    <w:p w:rsidR="00D91D1F" w:rsidRPr="008661AD" w:rsidRDefault="00D91D1F" w:rsidP="00936357">
      <w:pPr>
        <w:pStyle w:val="Naslov"/>
        <w:numPr>
          <w:ilvl w:val="0"/>
          <w:numId w:val="27"/>
        </w:numPr>
        <w:ind w:left="567" w:hanging="567"/>
        <w:rPr>
          <w:rStyle w:val="Naslovknjige"/>
          <w:b/>
        </w:rPr>
      </w:pPr>
      <w:bookmarkStart w:id="128" w:name="_Toc443029075"/>
      <w:bookmarkStart w:id="129" w:name="_Toc456688592"/>
      <w:r w:rsidRPr="008661AD">
        <w:rPr>
          <w:rStyle w:val="Naslovknjige"/>
          <w:b/>
        </w:rPr>
        <w:t>PREHODNE IN KONČNE DOLOČBE</w:t>
      </w:r>
      <w:bookmarkEnd w:id="128"/>
      <w:bookmarkEnd w:id="129"/>
    </w:p>
    <w:p w:rsidR="00D91D1F" w:rsidRPr="00D91D1F" w:rsidRDefault="00D91D1F" w:rsidP="00D91D1F">
      <w:pPr>
        <w:suppressAutoHyphens w:val="0"/>
        <w:autoSpaceDE w:val="0"/>
        <w:autoSpaceDN w:val="0"/>
        <w:adjustRightInd w:val="0"/>
        <w:jc w:val="both"/>
        <w:rPr>
          <w:rFonts w:ascii="Arial" w:hAnsi="Arial" w:cs="Arial"/>
          <w:szCs w:val="22"/>
          <w:lang w:eastAsia="sl-SI"/>
        </w:rPr>
      </w:pPr>
    </w:p>
    <w:p w:rsidR="00D91D1F" w:rsidRPr="00495FDC" w:rsidRDefault="00D91D1F" w:rsidP="00D91D1F">
      <w:pPr>
        <w:suppressAutoHyphens w:val="0"/>
        <w:autoSpaceDE w:val="0"/>
        <w:autoSpaceDN w:val="0"/>
        <w:adjustRightInd w:val="0"/>
        <w:jc w:val="both"/>
        <w:rPr>
          <w:rFonts w:ascii="Arial" w:hAnsi="Arial" w:cs="Arial"/>
          <w:sz w:val="20"/>
          <w:szCs w:val="20"/>
          <w:lang w:eastAsia="sl-SI"/>
        </w:rPr>
      </w:pPr>
      <w:r w:rsidRPr="00495FDC">
        <w:rPr>
          <w:rFonts w:ascii="Arial" w:hAnsi="Arial" w:cs="Arial"/>
          <w:sz w:val="20"/>
          <w:szCs w:val="20"/>
          <w:lang w:eastAsia="sl-SI"/>
        </w:rPr>
        <w:t>V kolikor pride med tem Nacionalnim programom in posameznimi področnimi programi oz. zakonodajo na področju prometa do kolizije, se šteje, da prevladajo določila tega Nacionalnega programa.</w:t>
      </w:r>
    </w:p>
    <w:p w:rsidR="00D91D1F" w:rsidRPr="00495FDC" w:rsidRDefault="00D91D1F" w:rsidP="00D91D1F">
      <w:pPr>
        <w:suppressAutoHyphens w:val="0"/>
        <w:autoSpaceDE w:val="0"/>
        <w:autoSpaceDN w:val="0"/>
        <w:adjustRightInd w:val="0"/>
        <w:jc w:val="both"/>
        <w:rPr>
          <w:rFonts w:ascii="Arial" w:hAnsi="Arial" w:cs="Arial"/>
          <w:sz w:val="20"/>
          <w:szCs w:val="20"/>
          <w:lang w:eastAsia="sl-SI"/>
        </w:rPr>
      </w:pPr>
    </w:p>
    <w:p w:rsidR="00D91D1F" w:rsidRPr="00495FDC" w:rsidRDefault="00D91D1F" w:rsidP="00D91D1F">
      <w:pPr>
        <w:suppressAutoHyphens w:val="0"/>
        <w:autoSpaceDE w:val="0"/>
        <w:autoSpaceDN w:val="0"/>
        <w:adjustRightInd w:val="0"/>
        <w:jc w:val="both"/>
        <w:rPr>
          <w:rFonts w:ascii="Arial" w:hAnsi="Arial" w:cs="Arial"/>
          <w:sz w:val="20"/>
          <w:szCs w:val="20"/>
          <w:lang w:eastAsia="sl-SI"/>
        </w:rPr>
      </w:pPr>
      <w:r w:rsidRPr="00495FDC">
        <w:rPr>
          <w:rFonts w:ascii="Arial" w:hAnsi="Arial" w:cs="Arial"/>
          <w:sz w:val="20"/>
          <w:szCs w:val="20"/>
          <w:lang w:eastAsia="sl-SI"/>
        </w:rPr>
        <w:t>Z dnem uveljavitve tega Nacionalnega programa preneha veljati Nacionalni program razvoja slovenske železniške infrastrukture (Uradni list RS št. 13/96).</w:t>
      </w:r>
    </w:p>
    <w:p w:rsidR="00D91D1F" w:rsidRPr="00495FDC" w:rsidRDefault="00D91D1F" w:rsidP="00D91D1F">
      <w:pPr>
        <w:suppressAutoHyphens w:val="0"/>
        <w:autoSpaceDE w:val="0"/>
        <w:autoSpaceDN w:val="0"/>
        <w:adjustRightInd w:val="0"/>
        <w:jc w:val="both"/>
        <w:rPr>
          <w:rFonts w:ascii="Arial" w:hAnsi="Arial" w:cs="Arial"/>
          <w:sz w:val="20"/>
          <w:szCs w:val="20"/>
          <w:lang w:eastAsia="sl-SI"/>
        </w:rPr>
      </w:pPr>
    </w:p>
    <w:p w:rsidR="00D91D1F" w:rsidRPr="00495FDC" w:rsidRDefault="00D91D1F" w:rsidP="00D91D1F">
      <w:pPr>
        <w:suppressAutoHyphens w:val="0"/>
        <w:autoSpaceDE w:val="0"/>
        <w:autoSpaceDN w:val="0"/>
        <w:adjustRightInd w:val="0"/>
        <w:jc w:val="both"/>
        <w:rPr>
          <w:rFonts w:ascii="Arial" w:hAnsi="Arial" w:cs="Arial"/>
          <w:sz w:val="20"/>
          <w:szCs w:val="20"/>
          <w:lang w:eastAsia="sl-SI"/>
        </w:rPr>
      </w:pPr>
      <w:r w:rsidRPr="00495FDC">
        <w:rPr>
          <w:rFonts w:ascii="Arial" w:hAnsi="Arial" w:cs="Arial"/>
          <w:sz w:val="20"/>
          <w:szCs w:val="20"/>
          <w:lang w:eastAsia="sl-SI"/>
        </w:rPr>
        <w:t xml:space="preserve">Z dnem uveljavitve tega Nacionalnega programa se preneha uporabljati Resolucija o Nacionalnem programu izgradnje avtocest v Republiki Sloveniji (Uradni list RS št. </w:t>
      </w:r>
      <w:hyperlink r:id="rId25" w:tgtFrame="_blank" w:tooltip="Resolucija o Nacionalnem programu izgradnje avtocest v Republiki Sloveniji (ReNPIA)" w:history="1">
        <w:r w:rsidRPr="00495FDC">
          <w:rPr>
            <w:rStyle w:val="Hiperpovezava"/>
            <w:rFonts w:ascii="Arial" w:hAnsi="Arial" w:cs="Arial"/>
            <w:sz w:val="20"/>
            <w:szCs w:val="20"/>
            <w:lang w:eastAsia="sl-SI"/>
          </w:rPr>
          <w:t>50/04</w:t>
        </w:r>
      </w:hyperlink>
      <w:r w:rsidRPr="00495FDC">
        <w:rPr>
          <w:rFonts w:ascii="Arial" w:hAnsi="Arial" w:cs="Arial"/>
          <w:sz w:val="20"/>
          <w:szCs w:val="20"/>
          <w:lang w:eastAsia="sl-SI"/>
        </w:rPr>
        <w:t xml:space="preserve"> in </w:t>
      </w:r>
      <w:hyperlink r:id="rId26" w:tgtFrame="_blank" w:tooltip="Zakon o cestah" w:history="1">
        <w:r w:rsidRPr="00495FDC">
          <w:rPr>
            <w:rStyle w:val="Hiperpovezava"/>
            <w:rFonts w:ascii="Arial" w:hAnsi="Arial" w:cs="Arial"/>
            <w:sz w:val="20"/>
            <w:szCs w:val="20"/>
            <w:lang w:eastAsia="sl-SI"/>
          </w:rPr>
          <w:t>109/10</w:t>
        </w:r>
      </w:hyperlink>
      <w:r w:rsidRPr="00495FDC">
        <w:rPr>
          <w:rFonts w:ascii="Arial" w:hAnsi="Arial" w:cs="Arial"/>
          <w:sz w:val="20"/>
          <w:szCs w:val="20"/>
          <w:lang w:eastAsia="sl-SI"/>
        </w:rPr>
        <w:t xml:space="preserve"> – ZCes-1). </w:t>
      </w:r>
    </w:p>
    <w:p w:rsidR="00D91D1F" w:rsidRPr="00495FDC" w:rsidRDefault="00D91D1F" w:rsidP="00D91D1F">
      <w:pPr>
        <w:suppressAutoHyphens w:val="0"/>
        <w:autoSpaceDE w:val="0"/>
        <w:autoSpaceDN w:val="0"/>
        <w:adjustRightInd w:val="0"/>
        <w:jc w:val="both"/>
        <w:rPr>
          <w:rFonts w:ascii="Arial" w:hAnsi="Arial" w:cs="Arial"/>
          <w:sz w:val="20"/>
          <w:szCs w:val="20"/>
          <w:lang w:eastAsia="sl-SI"/>
        </w:rPr>
      </w:pPr>
    </w:p>
    <w:p w:rsidR="00D91D1F" w:rsidRPr="00495FDC" w:rsidRDefault="00D91D1F" w:rsidP="00D91D1F">
      <w:pPr>
        <w:suppressAutoHyphens w:val="0"/>
        <w:autoSpaceDE w:val="0"/>
        <w:autoSpaceDN w:val="0"/>
        <w:adjustRightInd w:val="0"/>
        <w:jc w:val="both"/>
        <w:rPr>
          <w:rFonts w:ascii="Arial" w:hAnsi="Arial" w:cs="Arial"/>
          <w:sz w:val="20"/>
          <w:szCs w:val="20"/>
          <w:lang w:eastAsia="sl-SI"/>
        </w:rPr>
      </w:pPr>
      <w:r w:rsidRPr="00495FDC">
        <w:rPr>
          <w:rFonts w:ascii="Arial" w:hAnsi="Arial" w:cs="Arial"/>
          <w:sz w:val="20"/>
          <w:szCs w:val="20"/>
          <w:lang w:eastAsia="sl-SI"/>
        </w:rPr>
        <w:t xml:space="preserve">Z dnem uveljavitve tega Nacionalnega programa se preneha uporabljati Resolucija o nacionalnem programu razvoja pomorstva Republike Slovenije (Uradni list RS, št. 87/10) v delih, ki se nanašajo na pristanišče za mednarodni promet v Kopru in ostala pristanišča, izboljšanje pomorske varnosti, ki predvideva izgradnjo nadzornega centra in nadgradnjo VTS opreme ter drugih sistemov za spremljanje pomorskega prometa, vzdrževanje objektov za varnost plovbe, hidrografske meritve slovenskega morja, povečanje administrativnih zmogljivosti in usposobljenosti </w:t>
      </w:r>
      <w:r w:rsidR="00E87A04">
        <w:rPr>
          <w:rFonts w:ascii="Arial" w:hAnsi="Arial" w:cs="Arial"/>
          <w:sz w:val="20"/>
          <w:szCs w:val="20"/>
          <w:lang w:eastAsia="sl-SI"/>
        </w:rPr>
        <w:t xml:space="preserve">Uprave Republike Slovenije za pomorstvo (v nadaljevanju: URSP) </w:t>
      </w:r>
      <w:r w:rsidRPr="00495FDC">
        <w:rPr>
          <w:rFonts w:ascii="Arial" w:hAnsi="Arial" w:cs="Arial"/>
          <w:sz w:val="20"/>
          <w:szCs w:val="20"/>
          <w:lang w:eastAsia="sl-SI"/>
        </w:rPr>
        <w:t>z vzpostavitvijo novih poslovnih prostorov URSP.</w:t>
      </w:r>
    </w:p>
    <w:p w:rsidR="00D91D1F" w:rsidRPr="00495FDC" w:rsidRDefault="00D91D1F" w:rsidP="00D91D1F">
      <w:pPr>
        <w:suppressAutoHyphens w:val="0"/>
        <w:autoSpaceDE w:val="0"/>
        <w:autoSpaceDN w:val="0"/>
        <w:adjustRightInd w:val="0"/>
        <w:jc w:val="both"/>
        <w:rPr>
          <w:rFonts w:ascii="Arial" w:hAnsi="Arial" w:cs="Arial"/>
          <w:sz w:val="20"/>
          <w:szCs w:val="20"/>
          <w:lang w:eastAsia="sl-SI"/>
        </w:rPr>
      </w:pPr>
    </w:p>
    <w:p w:rsidR="00D91D1F" w:rsidRPr="00495FDC" w:rsidRDefault="00D91D1F" w:rsidP="00D91D1F">
      <w:pPr>
        <w:suppressAutoHyphens w:val="0"/>
        <w:autoSpaceDE w:val="0"/>
        <w:autoSpaceDN w:val="0"/>
        <w:adjustRightInd w:val="0"/>
        <w:jc w:val="both"/>
        <w:rPr>
          <w:rFonts w:ascii="Arial" w:hAnsi="Arial" w:cs="Arial"/>
          <w:sz w:val="20"/>
          <w:szCs w:val="20"/>
          <w:lang w:eastAsia="sl-SI"/>
        </w:rPr>
      </w:pPr>
      <w:r w:rsidRPr="00495FDC">
        <w:rPr>
          <w:rFonts w:ascii="Arial" w:hAnsi="Arial" w:cs="Arial"/>
          <w:sz w:val="20"/>
          <w:szCs w:val="20"/>
          <w:lang w:eastAsia="sl-SI"/>
        </w:rPr>
        <w:t>Z dnem uveljavitve tega Nacionalnega programa se preneha uporabljati Resolucija o nacionalnem programu razvoja civilnega letalstva Republike Slovenije do leta 2020 (Uradni list RS, št. 9/10) v delih, ki se nanaša na javna letališča za mednarodni promet:</w:t>
      </w:r>
    </w:p>
    <w:p w:rsidR="00D91D1F" w:rsidRPr="00495FDC" w:rsidRDefault="00D91D1F" w:rsidP="004D661A">
      <w:pPr>
        <w:numPr>
          <w:ilvl w:val="0"/>
          <w:numId w:val="11"/>
        </w:numPr>
        <w:ind w:left="426" w:hanging="349"/>
        <w:jc w:val="both"/>
        <w:rPr>
          <w:rFonts w:ascii="Arial" w:hAnsi="Arial" w:cs="Arial"/>
          <w:sz w:val="20"/>
          <w:szCs w:val="20"/>
        </w:rPr>
      </w:pPr>
      <w:r w:rsidRPr="00495FDC">
        <w:rPr>
          <w:rFonts w:ascii="Arial" w:hAnsi="Arial" w:cs="Arial"/>
          <w:sz w:val="20"/>
          <w:szCs w:val="20"/>
        </w:rPr>
        <w:t>Letališče Jožeta Pučnika Ljubljana,</w:t>
      </w:r>
    </w:p>
    <w:p w:rsidR="00D91D1F" w:rsidRPr="00495FDC" w:rsidRDefault="00D91D1F" w:rsidP="004D661A">
      <w:pPr>
        <w:numPr>
          <w:ilvl w:val="0"/>
          <w:numId w:val="11"/>
        </w:numPr>
        <w:ind w:left="426" w:hanging="349"/>
        <w:jc w:val="both"/>
        <w:rPr>
          <w:rFonts w:ascii="Arial" w:hAnsi="Arial" w:cs="Arial"/>
          <w:sz w:val="20"/>
          <w:szCs w:val="20"/>
        </w:rPr>
      </w:pPr>
      <w:r w:rsidRPr="00495FDC">
        <w:rPr>
          <w:rFonts w:ascii="Arial" w:hAnsi="Arial" w:cs="Arial"/>
          <w:sz w:val="20"/>
          <w:szCs w:val="20"/>
        </w:rPr>
        <w:t>Letališče Edvarda Rusjana Maribor in</w:t>
      </w:r>
    </w:p>
    <w:p w:rsidR="00D91D1F" w:rsidRPr="00495FDC" w:rsidRDefault="00D91D1F" w:rsidP="004D661A">
      <w:pPr>
        <w:numPr>
          <w:ilvl w:val="0"/>
          <w:numId w:val="11"/>
        </w:numPr>
        <w:ind w:left="426" w:hanging="349"/>
        <w:jc w:val="both"/>
        <w:rPr>
          <w:rFonts w:ascii="Arial" w:hAnsi="Arial" w:cs="Arial"/>
          <w:sz w:val="20"/>
          <w:szCs w:val="20"/>
        </w:rPr>
      </w:pPr>
      <w:r w:rsidRPr="00495FDC">
        <w:rPr>
          <w:rFonts w:ascii="Arial" w:hAnsi="Arial" w:cs="Arial"/>
          <w:sz w:val="20"/>
          <w:szCs w:val="20"/>
        </w:rPr>
        <w:t>Letališče Portorož.</w:t>
      </w:r>
    </w:p>
    <w:p w:rsidR="00D91D1F" w:rsidRPr="00495FDC" w:rsidRDefault="00D91D1F" w:rsidP="00D91D1F">
      <w:pPr>
        <w:suppressAutoHyphens w:val="0"/>
        <w:autoSpaceDE w:val="0"/>
        <w:autoSpaceDN w:val="0"/>
        <w:adjustRightInd w:val="0"/>
        <w:jc w:val="both"/>
        <w:rPr>
          <w:rFonts w:ascii="Arial" w:hAnsi="Arial" w:cs="Arial"/>
          <w:sz w:val="20"/>
          <w:szCs w:val="20"/>
          <w:lang w:eastAsia="sl-SI"/>
        </w:rPr>
      </w:pPr>
    </w:p>
    <w:p w:rsidR="00D91D1F" w:rsidRPr="00495FDC" w:rsidRDefault="00D91D1F" w:rsidP="00D91D1F">
      <w:pPr>
        <w:suppressAutoHyphens w:val="0"/>
        <w:autoSpaceDE w:val="0"/>
        <w:autoSpaceDN w:val="0"/>
        <w:adjustRightInd w:val="0"/>
        <w:jc w:val="both"/>
        <w:rPr>
          <w:rFonts w:ascii="Arial" w:hAnsi="Arial" w:cs="Arial"/>
          <w:sz w:val="20"/>
          <w:szCs w:val="20"/>
          <w:lang w:eastAsia="sl-SI"/>
        </w:rPr>
      </w:pPr>
      <w:r w:rsidRPr="00495FDC">
        <w:rPr>
          <w:rFonts w:ascii="Arial" w:hAnsi="Arial" w:cs="Arial"/>
          <w:sz w:val="20"/>
          <w:szCs w:val="20"/>
          <w:lang w:eastAsia="sl-SI"/>
        </w:rPr>
        <w:t>Izvajanje ostalih aktivnosti tega Nacionalnega programa na področju letalstva pa mora biti v skladu in mora slediti Resoluciji o nacionalnem programu razvoja civilnega letalstva Republike Slovenije do leta 2020.</w:t>
      </w:r>
    </w:p>
    <w:p w:rsidR="00D91D1F" w:rsidRPr="00495FDC" w:rsidRDefault="00D91D1F" w:rsidP="00D91D1F">
      <w:pPr>
        <w:suppressAutoHyphens w:val="0"/>
        <w:autoSpaceDE w:val="0"/>
        <w:autoSpaceDN w:val="0"/>
        <w:adjustRightInd w:val="0"/>
        <w:jc w:val="both"/>
        <w:rPr>
          <w:rFonts w:ascii="Arial" w:hAnsi="Arial" w:cs="Arial"/>
          <w:sz w:val="20"/>
          <w:szCs w:val="20"/>
          <w:lang w:eastAsia="sl-SI"/>
        </w:rPr>
      </w:pPr>
      <w:r w:rsidRPr="00495FDC">
        <w:rPr>
          <w:rFonts w:ascii="Arial" w:hAnsi="Arial" w:cs="Arial"/>
          <w:sz w:val="20"/>
          <w:szCs w:val="20"/>
          <w:lang w:eastAsia="sl-SI"/>
        </w:rPr>
        <w:br w:type="page"/>
      </w:r>
    </w:p>
    <w:p w:rsidR="00D91D1F" w:rsidRPr="008661AD" w:rsidRDefault="00D91D1F" w:rsidP="00936357">
      <w:pPr>
        <w:pStyle w:val="Naslov"/>
        <w:numPr>
          <w:ilvl w:val="0"/>
          <w:numId w:val="27"/>
        </w:numPr>
        <w:ind w:left="567" w:hanging="567"/>
        <w:rPr>
          <w:rStyle w:val="Naslovknjige"/>
          <w:b/>
        </w:rPr>
      </w:pPr>
      <w:bookmarkStart w:id="130" w:name="_Toc443029076"/>
      <w:bookmarkStart w:id="131" w:name="_Toc456688593"/>
      <w:r w:rsidRPr="008661AD">
        <w:rPr>
          <w:rStyle w:val="Naslovknjige"/>
          <w:b/>
        </w:rPr>
        <w:t>PRILOGE</w:t>
      </w:r>
      <w:bookmarkEnd w:id="130"/>
      <w:bookmarkEnd w:id="131"/>
    </w:p>
    <w:p w:rsidR="00D91D1F" w:rsidRPr="00D91D1F" w:rsidRDefault="00D91D1F" w:rsidP="00D91D1F">
      <w:pPr>
        <w:rPr>
          <w:rFonts w:ascii="Arial" w:hAnsi="Arial" w:cs="Arial"/>
        </w:rPr>
      </w:pPr>
    </w:p>
    <w:p w:rsidR="00D91D1F" w:rsidRPr="00495FDC" w:rsidRDefault="00D91D1F" w:rsidP="00D91D1F">
      <w:pPr>
        <w:rPr>
          <w:rFonts w:ascii="Arial" w:hAnsi="Arial" w:cs="Arial"/>
          <w:sz w:val="20"/>
          <w:szCs w:val="20"/>
        </w:rPr>
      </w:pPr>
      <w:r w:rsidRPr="00495FDC">
        <w:rPr>
          <w:rFonts w:ascii="Arial" w:hAnsi="Arial" w:cs="Arial"/>
          <w:sz w:val="20"/>
          <w:szCs w:val="20"/>
        </w:rPr>
        <w:t>Priloga 1: Cestni promet</w:t>
      </w:r>
    </w:p>
    <w:p w:rsidR="00D91D1F" w:rsidRPr="00495FDC" w:rsidRDefault="00D91D1F" w:rsidP="00D91D1F">
      <w:pPr>
        <w:rPr>
          <w:rFonts w:ascii="Arial" w:hAnsi="Arial" w:cs="Arial"/>
          <w:sz w:val="20"/>
          <w:szCs w:val="20"/>
        </w:rPr>
      </w:pPr>
      <w:r w:rsidRPr="00495FDC">
        <w:rPr>
          <w:rFonts w:ascii="Arial" w:hAnsi="Arial" w:cs="Arial"/>
          <w:sz w:val="20"/>
          <w:szCs w:val="20"/>
        </w:rPr>
        <w:t>Priloga 2: Železniški promet</w:t>
      </w:r>
    </w:p>
    <w:p w:rsidR="00D91D1F" w:rsidRPr="00495FDC" w:rsidRDefault="00D91D1F" w:rsidP="00D91D1F">
      <w:pPr>
        <w:rPr>
          <w:rFonts w:ascii="Arial" w:hAnsi="Arial" w:cs="Arial"/>
          <w:sz w:val="20"/>
          <w:szCs w:val="20"/>
        </w:rPr>
      </w:pPr>
      <w:r w:rsidRPr="00495FDC">
        <w:rPr>
          <w:rFonts w:ascii="Arial" w:hAnsi="Arial" w:cs="Arial"/>
          <w:sz w:val="20"/>
          <w:szCs w:val="20"/>
        </w:rPr>
        <w:t>Priloga 3: Trajnostna mobilnost</w:t>
      </w:r>
    </w:p>
    <w:p w:rsidR="00D91D1F" w:rsidRPr="00495FDC" w:rsidRDefault="00D91D1F" w:rsidP="00D91D1F">
      <w:pPr>
        <w:rPr>
          <w:rFonts w:ascii="Arial" w:hAnsi="Arial" w:cs="Arial"/>
          <w:sz w:val="20"/>
          <w:szCs w:val="20"/>
        </w:rPr>
      </w:pPr>
      <w:r w:rsidRPr="00495FDC">
        <w:rPr>
          <w:rFonts w:ascii="Arial" w:hAnsi="Arial" w:cs="Arial"/>
          <w:sz w:val="20"/>
          <w:szCs w:val="20"/>
        </w:rPr>
        <w:t>Priloga 4: Vodni promet</w:t>
      </w:r>
    </w:p>
    <w:p w:rsidR="00D91D1F" w:rsidRPr="00495FDC" w:rsidRDefault="00D91D1F" w:rsidP="00D91D1F">
      <w:pPr>
        <w:rPr>
          <w:rFonts w:ascii="Arial" w:hAnsi="Arial" w:cs="Arial"/>
          <w:sz w:val="20"/>
          <w:szCs w:val="20"/>
        </w:rPr>
      </w:pPr>
      <w:r w:rsidRPr="00495FDC">
        <w:rPr>
          <w:rFonts w:ascii="Arial" w:hAnsi="Arial" w:cs="Arial"/>
          <w:sz w:val="20"/>
          <w:szCs w:val="20"/>
        </w:rPr>
        <w:t>Priloga 5: Zračni promet</w:t>
      </w:r>
    </w:p>
    <w:p w:rsidR="00601EED" w:rsidRPr="00495FDC" w:rsidRDefault="00601EED" w:rsidP="00601EED">
      <w:pPr>
        <w:rPr>
          <w:rFonts w:ascii="Arial" w:hAnsi="Arial" w:cs="Arial"/>
          <w:sz w:val="20"/>
          <w:szCs w:val="20"/>
        </w:rPr>
      </w:pPr>
      <w:r w:rsidRPr="00495FDC">
        <w:rPr>
          <w:rFonts w:ascii="Arial" w:hAnsi="Arial" w:cs="Arial"/>
          <w:sz w:val="20"/>
          <w:szCs w:val="20"/>
        </w:rPr>
        <w:t xml:space="preserve">Priloga </w:t>
      </w:r>
      <w:r w:rsidR="00B73DE4">
        <w:rPr>
          <w:rFonts w:ascii="Arial" w:hAnsi="Arial" w:cs="Arial"/>
          <w:sz w:val="20"/>
          <w:szCs w:val="20"/>
        </w:rPr>
        <w:t>6</w:t>
      </w:r>
      <w:r w:rsidRPr="00495FDC">
        <w:rPr>
          <w:rFonts w:ascii="Arial" w:hAnsi="Arial" w:cs="Arial"/>
          <w:sz w:val="20"/>
          <w:szCs w:val="20"/>
        </w:rPr>
        <w:t>: Cestni promet</w:t>
      </w:r>
      <w:r>
        <w:rPr>
          <w:rFonts w:ascii="Arial" w:hAnsi="Arial" w:cs="Arial"/>
          <w:sz w:val="20"/>
          <w:szCs w:val="20"/>
        </w:rPr>
        <w:t xml:space="preserve"> - dinamika</w:t>
      </w:r>
    </w:p>
    <w:p w:rsidR="00601EED" w:rsidRPr="00495FDC" w:rsidRDefault="00601EED" w:rsidP="00601EED">
      <w:pPr>
        <w:rPr>
          <w:rFonts w:ascii="Arial" w:hAnsi="Arial" w:cs="Arial"/>
          <w:sz w:val="20"/>
          <w:szCs w:val="20"/>
        </w:rPr>
      </w:pPr>
      <w:r w:rsidRPr="00495FDC">
        <w:rPr>
          <w:rFonts w:ascii="Arial" w:hAnsi="Arial" w:cs="Arial"/>
          <w:sz w:val="20"/>
          <w:szCs w:val="20"/>
        </w:rPr>
        <w:t xml:space="preserve">Priloga </w:t>
      </w:r>
      <w:r w:rsidR="00B73DE4">
        <w:rPr>
          <w:rFonts w:ascii="Arial" w:hAnsi="Arial" w:cs="Arial"/>
          <w:sz w:val="20"/>
          <w:szCs w:val="20"/>
        </w:rPr>
        <w:t>7</w:t>
      </w:r>
      <w:r w:rsidRPr="00495FDC">
        <w:rPr>
          <w:rFonts w:ascii="Arial" w:hAnsi="Arial" w:cs="Arial"/>
          <w:sz w:val="20"/>
          <w:szCs w:val="20"/>
        </w:rPr>
        <w:t>: Železniški promet</w:t>
      </w:r>
      <w:r>
        <w:rPr>
          <w:rFonts w:ascii="Arial" w:hAnsi="Arial" w:cs="Arial"/>
          <w:sz w:val="20"/>
          <w:szCs w:val="20"/>
        </w:rPr>
        <w:t xml:space="preserve"> - dinamika</w:t>
      </w:r>
    </w:p>
    <w:p w:rsidR="00601EED" w:rsidRPr="00495FDC" w:rsidRDefault="00601EED" w:rsidP="00601EED">
      <w:pPr>
        <w:rPr>
          <w:rFonts w:ascii="Arial" w:hAnsi="Arial" w:cs="Arial"/>
          <w:sz w:val="20"/>
          <w:szCs w:val="20"/>
        </w:rPr>
      </w:pPr>
      <w:r w:rsidRPr="00495FDC">
        <w:rPr>
          <w:rFonts w:ascii="Arial" w:hAnsi="Arial" w:cs="Arial"/>
          <w:sz w:val="20"/>
          <w:szCs w:val="20"/>
        </w:rPr>
        <w:t xml:space="preserve">Priloga </w:t>
      </w:r>
      <w:r w:rsidR="00B73DE4">
        <w:rPr>
          <w:rFonts w:ascii="Arial" w:hAnsi="Arial" w:cs="Arial"/>
          <w:sz w:val="20"/>
          <w:szCs w:val="20"/>
        </w:rPr>
        <w:t>8</w:t>
      </w:r>
      <w:r w:rsidRPr="00495FDC">
        <w:rPr>
          <w:rFonts w:ascii="Arial" w:hAnsi="Arial" w:cs="Arial"/>
          <w:sz w:val="20"/>
          <w:szCs w:val="20"/>
        </w:rPr>
        <w:t>: Trajnostna mobilnost</w:t>
      </w:r>
      <w:r>
        <w:rPr>
          <w:rFonts w:ascii="Arial" w:hAnsi="Arial" w:cs="Arial"/>
          <w:sz w:val="20"/>
          <w:szCs w:val="20"/>
        </w:rPr>
        <w:t xml:space="preserve"> - dinamika</w:t>
      </w:r>
    </w:p>
    <w:p w:rsidR="00601EED" w:rsidRPr="00495FDC" w:rsidRDefault="00601EED" w:rsidP="00601EED">
      <w:pPr>
        <w:rPr>
          <w:rFonts w:ascii="Arial" w:hAnsi="Arial" w:cs="Arial"/>
          <w:sz w:val="20"/>
          <w:szCs w:val="20"/>
        </w:rPr>
      </w:pPr>
      <w:r w:rsidRPr="00495FDC">
        <w:rPr>
          <w:rFonts w:ascii="Arial" w:hAnsi="Arial" w:cs="Arial"/>
          <w:sz w:val="20"/>
          <w:szCs w:val="20"/>
        </w:rPr>
        <w:t xml:space="preserve">Priloga </w:t>
      </w:r>
      <w:r w:rsidR="00B73DE4">
        <w:rPr>
          <w:rFonts w:ascii="Arial" w:hAnsi="Arial" w:cs="Arial"/>
          <w:sz w:val="20"/>
          <w:szCs w:val="20"/>
        </w:rPr>
        <w:t>9</w:t>
      </w:r>
      <w:r w:rsidRPr="00495FDC">
        <w:rPr>
          <w:rFonts w:ascii="Arial" w:hAnsi="Arial" w:cs="Arial"/>
          <w:sz w:val="20"/>
          <w:szCs w:val="20"/>
        </w:rPr>
        <w:t>: Vodni promet</w:t>
      </w:r>
      <w:r>
        <w:rPr>
          <w:rFonts w:ascii="Arial" w:hAnsi="Arial" w:cs="Arial"/>
          <w:sz w:val="20"/>
          <w:szCs w:val="20"/>
        </w:rPr>
        <w:t xml:space="preserve"> - dinamika</w:t>
      </w:r>
    </w:p>
    <w:p w:rsidR="00601EED" w:rsidRPr="00495FDC" w:rsidRDefault="00601EED" w:rsidP="00601EED">
      <w:pPr>
        <w:rPr>
          <w:rFonts w:ascii="Arial" w:hAnsi="Arial" w:cs="Arial"/>
          <w:sz w:val="20"/>
          <w:szCs w:val="20"/>
        </w:rPr>
      </w:pPr>
      <w:r w:rsidRPr="00495FDC">
        <w:rPr>
          <w:rFonts w:ascii="Arial" w:hAnsi="Arial" w:cs="Arial"/>
          <w:sz w:val="20"/>
          <w:szCs w:val="20"/>
        </w:rPr>
        <w:t xml:space="preserve">Priloga </w:t>
      </w:r>
      <w:r w:rsidR="00B73DE4">
        <w:rPr>
          <w:rFonts w:ascii="Arial" w:hAnsi="Arial" w:cs="Arial"/>
          <w:sz w:val="20"/>
          <w:szCs w:val="20"/>
        </w:rPr>
        <w:t>10</w:t>
      </w:r>
      <w:r w:rsidRPr="00495FDC">
        <w:rPr>
          <w:rFonts w:ascii="Arial" w:hAnsi="Arial" w:cs="Arial"/>
          <w:sz w:val="20"/>
          <w:szCs w:val="20"/>
        </w:rPr>
        <w:t>: Zračni promet</w:t>
      </w:r>
      <w:r>
        <w:rPr>
          <w:rFonts w:ascii="Arial" w:hAnsi="Arial" w:cs="Arial"/>
          <w:sz w:val="20"/>
          <w:szCs w:val="20"/>
        </w:rPr>
        <w:t xml:space="preserve"> - dinamika</w:t>
      </w:r>
    </w:p>
    <w:p w:rsidR="00D91D1F" w:rsidRPr="00D91D1F" w:rsidRDefault="00D91D1F" w:rsidP="00D91D1F">
      <w:pPr>
        <w:jc w:val="both"/>
        <w:rPr>
          <w:rFonts w:ascii="Arial" w:hAnsi="Arial" w:cs="Arial"/>
        </w:rPr>
      </w:pPr>
    </w:p>
    <w:p w:rsidR="006F3E85" w:rsidRPr="00D91D1F" w:rsidRDefault="006F3E85" w:rsidP="00D91D1F">
      <w:pPr>
        <w:overflowPunct w:val="0"/>
        <w:autoSpaceDE w:val="0"/>
        <w:autoSpaceDN w:val="0"/>
        <w:adjustRightInd w:val="0"/>
        <w:spacing w:before="120" w:after="160" w:line="200" w:lineRule="exact"/>
        <w:textAlignment w:val="baseline"/>
        <w:rPr>
          <w:rFonts w:ascii="Arial" w:hAnsi="Arial" w:cs="Arial"/>
          <w:b/>
          <w:sz w:val="20"/>
          <w:szCs w:val="22"/>
          <w:lang w:eastAsia="sl-SI"/>
        </w:rPr>
      </w:pPr>
    </w:p>
    <w:p w:rsidR="00ED5666" w:rsidRPr="00D91D1F" w:rsidRDefault="00ED5666" w:rsidP="00531C1D">
      <w:pPr>
        <w:autoSpaceDE w:val="0"/>
        <w:autoSpaceDN w:val="0"/>
        <w:adjustRightInd w:val="0"/>
        <w:spacing w:line="240" w:lineRule="atLeast"/>
        <w:jc w:val="center"/>
        <w:rPr>
          <w:rFonts w:ascii="Arial" w:hAnsi="Arial" w:cs="Arial"/>
          <w:color w:val="000000"/>
          <w:sz w:val="20"/>
          <w:szCs w:val="20"/>
        </w:rPr>
      </w:pPr>
    </w:p>
    <w:sectPr w:rsidR="00ED5666" w:rsidRPr="00D91D1F" w:rsidSect="004E0EBF">
      <w:headerReference w:type="default" r:id="rId27"/>
      <w:footerReference w:type="default" r:id="rId28"/>
      <w:headerReference w:type="first" r:id="rId29"/>
      <w:footerReference w:type="first" r:id="rId30"/>
      <w:footnotePr>
        <w:pos w:val="beneathText"/>
      </w:footnotePr>
      <w:pgSz w:w="11905" w:h="16837" w:code="9"/>
      <w:pgMar w:top="1134" w:right="1134" w:bottom="1134" w:left="1134" w:header="482" w:footer="56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B723E" w:rsidRDefault="005B723E">
      <w:r>
        <w:separator/>
      </w:r>
    </w:p>
  </w:endnote>
  <w:endnote w:type="continuationSeparator" w:id="0">
    <w:p w:rsidR="005B723E" w:rsidRDefault="005B72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20002A87" w:usb1="00000000" w:usb2="00000000" w:usb3="00000000" w:csb0="000001FF" w:csb1="00000000"/>
  </w:font>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Cambria">
    <w:panose1 w:val="02040503050406030204"/>
    <w:charset w:val="EE"/>
    <w:family w:val="roman"/>
    <w:pitch w:val="variable"/>
    <w:sig w:usb0="E00002FF" w:usb1="400004FF" w:usb2="00000000" w:usb3="00000000" w:csb0="0000019F" w:csb1="00000000"/>
  </w:font>
  <w:font w:name="Trajan Pro">
    <w:altName w:val="Times New Roman"/>
    <w:panose1 w:val="00000000000000000000"/>
    <w:charset w:val="00"/>
    <w:family w:val="roman"/>
    <w:notTrueType/>
    <w:pitch w:val="variable"/>
    <w:sig w:usb0="800000AF" w:usb1="5000204B" w:usb2="00000000" w:usb3="00000000" w:csb0="0000009B"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7B9B" w:rsidRDefault="00427B9B">
    <w:pPr>
      <w:pStyle w:val="Noga"/>
      <w:jc w:val="center"/>
    </w:pPr>
    <w:r>
      <w:fldChar w:fldCharType="begin"/>
    </w:r>
    <w:r>
      <w:instrText>PAGE   \* MERGEFORMAT</w:instrText>
    </w:r>
    <w:r>
      <w:fldChar w:fldCharType="separate"/>
    </w:r>
    <w:r w:rsidR="0050383A">
      <w:rPr>
        <w:noProof/>
      </w:rPr>
      <w:t>36</w:t>
    </w:r>
    <w:r>
      <w:fldChar w:fldCharType="end"/>
    </w:r>
  </w:p>
  <w:p w:rsidR="00427B9B" w:rsidRPr="00AB3010" w:rsidRDefault="00427B9B" w:rsidP="00BF1663">
    <w:pPr>
      <w:pStyle w:val="Noga"/>
      <w:tabs>
        <w:tab w:val="clear" w:pos="4536"/>
      </w:tabs>
      <w:rPr>
        <w:rFonts w:cs="Tahoma"/>
        <w:sz w:val="18"/>
        <w:szCs w:val="1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7B9B" w:rsidRPr="008A57C5" w:rsidRDefault="00427B9B">
    <w:pPr>
      <w:pStyle w:val="Noga"/>
      <w:jc w:val="center"/>
      <w:rPr>
        <w:rFonts w:ascii="Arial" w:hAnsi="Arial" w:cs="Arial"/>
        <w:sz w:val="20"/>
        <w:szCs w:val="20"/>
      </w:rPr>
    </w:pPr>
    <w:r w:rsidRPr="008A57C5">
      <w:rPr>
        <w:rFonts w:ascii="Arial" w:hAnsi="Arial" w:cs="Arial"/>
        <w:sz w:val="20"/>
        <w:szCs w:val="20"/>
      </w:rPr>
      <w:t xml:space="preserve"> </w:t>
    </w:r>
    <w:r w:rsidRPr="008A57C5">
      <w:rPr>
        <w:rFonts w:ascii="Arial" w:hAnsi="Arial" w:cs="Arial"/>
        <w:bCs/>
        <w:sz w:val="20"/>
        <w:szCs w:val="20"/>
      </w:rPr>
      <w:fldChar w:fldCharType="begin"/>
    </w:r>
    <w:r w:rsidRPr="008A57C5">
      <w:rPr>
        <w:rFonts w:ascii="Arial" w:hAnsi="Arial" w:cs="Arial"/>
        <w:bCs/>
        <w:sz w:val="20"/>
        <w:szCs w:val="20"/>
      </w:rPr>
      <w:instrText>PAGE</w:instrText>
    </w:r>
    <w:r w:rsidRPr="008A57C5">
      <w:rPr>
        <w:rFonts w:ascii="Arial" w:hAnsi="Arial" w:cs="Arial"/>
        <w:bCs/>
        <w:sz w:val="20"/>
        <w:szCs w:val="20"/>
      </w:rPr>
      <w:fldChar w:fldCharType="separate"/>
    </w:r>
    <w:r w:rsidR="004A7FBD">
      <w:rPr>
        <w:rFonts w:ascii="Arial" w:hAnsi="Arial" w:cs="Arial"/>
        <w:bCs/>
        <w:noProof/>
        <w:sz w:val="20"/>
        <w:szCs w:val="20"/>
      </w:rPr>
      <w:t>43</w:t>
    </w:r>
    <w:r w:rsidRPr="008A57C5">
      <w:rPr>
        <w:rFonts w:ascii="Arial" w:hAnsi="Arial" w:cs="Arial"/>
        <w:bCs/>
        <w:sz w:val="20"/>
        <w:szCs w:val="20"/>
      </w:rPr>
      <w:fldChar w:fldCharType="end"/>
    </w:r>
  </w:p>
  <w:p w:rsidR="00427B9B" w:rsidRDefault="00427B9B">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00789725"/>
      <w:docPartObj>
        <w:docPartGallery w:val="Page Numbers (Bottom of Page)"/>
        <w:docPartUnique/>
      </w:docPartObj>
    </w:sdtPr>
    <w:sdtEndPr/>
    <w:sdtContent>
      <w:p w:rsidR="00427B9B" w:rsidRDefault="00427B9B">
        <w:pPr>
          <w:pStyle w:val="Noga"/>
          <w:jc w:val="center"/>
        </w:pPr>
        <w:r>
          <w:fldChar w:fldCharType="begin"/>
        </w:r>
        <w:r>
          <w:instrText>PAGE   \* MERGEFORMAT</w:instrText>
        </w:r>
        <w:r>
          <w:fldChar w:fldCharType="separate"/>
        </w:r>
        <w:r w:rsidR="0050383A">
          <w:rPr>
            <w:noProof/>
          </w:rPr>
          <w:t>37</w:t>
        </w:r>
        <w:r>
          <w:fldChar w:fldCharType="end"/>
        </w:r>
      </w:p>
    </w:sdtContent>
  </w:sdt>
  <w:p w:rsidR="00427B9B" w:rsidRDefault="00427B9B" w:rsidP="004E0EBF">
    <w:pPr>
      <w:pStyle w:val="Noga"/>
      <w:tabs>
        <w:tab w:val="clear" w:pos="4536"/>
        <w:tab w:val="clear" w:pos="9072"/>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B723E" w:rsidRDefault="005B723E">
      <w:r>
        <w:separator/>
      </w:r>
    </w:p>
  </w:footnote>
  <w:footnote w:type="continuationSeparator" w:id="0">
    <w:p w:rsidR="005B723E" w:rsidRDefault="005B723E">
      <w:r>
        <w:continuationSeparator/>
      </w:r>
    </w:p>
  </w:footnote>
  <w:footnote w:id="1">
    <w:p w:rsidR="00427B9B" w:rsidRDefault="00427B9B" w:rsidP="00D91D1F">
      <w:pPr>
        <w:pStyle w:val="Sprotnaopomba-besedilo"/>
      </w:pPr>
      <w:r>
        <w:rPr>
          <w:rStyle w:val="Sprotnaopomba-sklic"/>
        </w:rPr>
        <w:footnoteRef/>
      </w:r>
      <w:r>
        <w:t xml:space="preserve"> </w:t>
      </w:r>
      <w:hyperlink r:id="rId1" w:history="1">
        <w:r w:rsidRPr="00F35C3E">
          <w:rPr>
            <w:rStyle w:val="Hiperpovezava"/>
            <w:rFonts w:cs="Tahoma"/>
            <w:szCs w:val="22"/>
          </w:rPr>
          <w:t>http://www.internationaltransportforum.org/statistics/StatBrief/2015-07-Spending-Infrastructure.pdf</w:t>
        </w:r>
      </w:hyperlink>
    </w:p>
  </w:footnote>
  <w:footnote w:id="2">
    <w:p w:rsidR="00427B9B" w:rsidRPr="00E12291" w:rsidRDefault="00427B9B" w:rsidP="00D91D1F">
      <w:pPr>
        <w:pStyle w:val="Sprotnaopomba-besedilo"/>
        <w:rPr>
          <w:rFonts w:ascii="Arial" w:hAnsi="Arial" w:cs="Arial"/>
        </w:rPr>
      </w:pPr>
      <w:r w:rsidRPr="00E12291">
        <w:rPr>
          <w:rStyle w:val="Sprotnaopomba-sklic"/>
          <w:rFonts w:ascii="Arial" w:hAnsi="Arial" w:cs="Arial"/>
        </w:rPr>
        <w:footnoteRef/>
      </w:r>
      <w:r w:rsidRPr="00E12291">
        <w:rPr>
          <w:rFonts w:ascii="Arial" w:hAnsi="Arial" w:cs="Arial"/>
        </w:rPr>
        <w:t xml:space="preserve"> International Union of Railways</w:t>
      </w:r>
    </w:p>
  </w:footnote>
  <w:footnote w:id="3">
    <w:p w:rsidR="00427B9B" w:rsidRDefault="00427B9B">
      <w:pPr>
        <w:pStyle w:val="Sprotnaopomba-besedilo"/>
      </w:pPr>
      <w:r>
        <w:rPr>
          <w:rStyle w:val="Sprotnaopomba-sklic"/>
        </w:rPr>
        <w:footnoteRef/>
      </w:r>
      <w:r>
        <w:t xml:space="preserve"> Vse vrednosti v dokumentu vključujejo DDV</w:t>
      </w:r>
    </w:p>
  </w:footnote>
  <w:footnote w:id="4">
    <w:p w:rsidR="00427B9B" w:rsidRDefault="00427B9B" w:rsidP="00D91D1F">
      <w:pPr>
        <w:pStyle w:val="Sprotnaopomba-besedilo"/>
      </w:pPr>
      <w:r w:rsidRPr="00795861">
        <w:rPr>
          <w:rStyle w:val="Sprotnaopomba-sklic"/>
        </w:rPr>
        <w:footnoteRef/>
      </w:r>
      <w:r w:rsidRPr="00795861">
        <w:t xml:space="preserve"> Pavement Management System (sistem gospodarjenja z vozišči)</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7B9B" w:rsidRPr="00D91D1F" w:rsidRDefault="00427B9B" w:rsidP="00BF1663">
    <w:pPr>
      <w:pStyle w:val="Glava"/>
      <w:jc w:val="right"/>
      <w:rPr>
        <w:b/>
        <w:sz w:val="2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7B9B" w:rsidRPr="001B1D79" w:rsidRDefault="00427B9B">
    <w:pPr>
      <w:tabs>
        <w:tab w:val="left" w:pos="3960"/>
      </w:tabs>
      <w:spacing w:before="60"/>
      <w:ind w:right="30"/>
      <w:rPr>
        <w:rFonts w:ascii="Trajan Pro" w:hAnsi="Trajan Pro"/>
        <w:sz w:val="17"/>
        <w:szCs w:val="17"/>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7B9B" w:rsidRPr="00125A68" w:rsidRDefault="00427B9B" w:rsidP="004E0EBF">
    <w:pPr>
      <w:spacing w:before="40"/>
      <w:ind w:right="-3"/>
      <w:rPr>
        <w:sz w:val="22"/>
        <w:szCs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47BD7"/>
    <w:multiLevelType w:val="hybridMultilevel"/>
    <w:tmpl w:val="7B6655DE"/>
    <w:lvl w:ilvl="0" w:tplc="9968C782">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50136AF"/>
    <w:multiLevelType w:val="hybridMultilevel"/>
    <w:tmpl w:val="57D625E8"/>
    <w:lvl w:ilvl="0" w:tplc="700ACE14">
      <w:numFmt w:val="bullet"/>
      <w:lvlText w:val="-"/>
      <w:lvlJc w:val="left"/>
      <w:pPr>
        <w:tabs>
          <w:tab w:val="num" w:pos="720"/>
        </w:tabs>
        <w:ind w:left="720" w:hanging="360"/>
      </w:pPr>
      <w:rPr>
        <w:rFonts w:ascii="Tahoma" w:eastAsia="Times New Roman" w:hAnsi="Tahoma" w:cs="Tahoma"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
    <w:nsid w:val="17363A38"/>
    <w:multiLevelType w:val="hybridMultilevel"/>
    <w:tmpl w:val="7EF6406E"/>
    <w:lvl w:ilvl="0" w:tplc="CE2CF688">
      <w:numFmt w:val="bullet"/>
      <w:lvlText w:val="•"/>
      <w:lvlJc w:val="left"/>
      <w:pPr>
        <w:ind w:left="708" w:hanging="708"/>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28A44BD7"/>
    <w:multiLevelType w:val="multilevel"/>
    <w:tmpl w:val="14A2D97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nsid w:val="29222EB4"/>
    <w:multiLevelType w:val="hybridMultilevel"/>
    <w:tmpl w:val="B21EC852"/>
    <w:lvl w:ilvl="0" w:tplc="04240003">
      <w:start w:val="1"/>
      <w:numFmt w:val="bullet"/>
      <w:lvlText w:val="o"/>
      <w:lvlJc w:val="left"/>
      <w:pPr>
        <w:ind w:left="1080" w:hanging="360"/>
      </w:pPr>
      <w:rPr>
        <w:rFonts w:ascii="Courier New" w:hAnsi="Courier New" w:cs="Courier New"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6">
    <w:nsid w:val="2A4D1502"/>
    <w:multiLevelType w:val="multilevel"/>
    <w:tmpl w:val="48E4BF5C"/>
    <w:lvl w:ilvl="0">
      <w:start w:val="1"/>
      <w:numFmt w:val="decimal"/>
      <w:lvlText w:val="%1."/>
      <w:lvlJc w:val="left"/>
      <w:pPr>
        <w:ind w:left="2487" w:hanging="360"/>
      </w:pPr>
      <w:rPr>
        <w:rFonts w:hint="default"/>
      </w:rPr>
    </w:lvl>
    <w:lvl w:ilvl="1">
      <w:start w:val="1"/>
      <w:numFmt w:val="decimal"/>
      <w:isLgl/>
      <w:lvlText w:val="%1.%2."/>
      <w:lvlJc w:val="left"/>
      <w:pPr>
        <w:ind w:left="2847" w:hanging="720"/>
      </w:pPr>
      <w:rPr>
        <w:rFonts w:hint="default"/>
      </w:rPr>
    </w:lvl>
    <w:lvl w:ilvl="2">
      <w:start w:val="1"/>
      <w:numFmt w:val="decimal"/>
      <w:isLgl/>
      <w:lvlText w:val="%1.%2.%3."/>
      <w:lvlJc w:val="left"/>
      <w:pPr>
        <w:ind w:left="2847" w:hanging="720"/>
      </w:pPr>
      <w:rPr>
        <w:rFonts w:hint="default"/>
      </w:rPr>
    </w:lvl>
    <w:lvl w:ilvl="3">
      <w:start w:val="1"/>
      <w:numFmt w:val="decimal"/>
      <w:isLgl/>
      <w:lvlText w:val="%1.%2.%3.%4."/>
      <w:lvlJc w:val="left"/>
      <w:pPr>
        <w:ind w:left="3207" w:hanging="1080"/>
      </w:pPr>
      <w:rPr>
        <w:rFonts w:hint="default"/>
      </w:rPr>
    </w:lvl>
    <w:lvl w:ilvl="4">
      <w:start w:val="1"/>
      <w:numFmt w:val="decimal"/>
      <w:isLgl/>
      <w:lvlText w:val="%1.%2.%3.%4.%5."/>
      <w:lvlJc w:val="left"/>
      <w:pPr>
        <w:ind w:left="3567" w:hanging="1440"/>
      </w:pPr>
      <w:rPr>
        <w:rFonts w:hint="default"/>
      </w:rPr>
    </w:lvl>
    <w:lvl w:ilvl="5">
      <w:start w:val="1"/>
      <w:numFmt w:val="decimal"/>
      <w:isLgl/>
      <w:lvlText w:val="%1.%2.%3.%4.%5.%6."/>
      <w:lvlJc w:val="left"/>
      <w:pPr>
        <w:ind w:left="3567" w:hanging="1440"/>
      </w:pPr>
      <w:rPr>
        <w:rFonts w:hint="default"/>
      </w:rPr>
    </w:lvl>
    <w:lvl w:ilvl="6">
      <w:start w:val="1"/>
      <w:numFmt w:val="decimal"/>
      <w:isLgl/>
      <w:lvlText w:val="%1.%2.%3.%4.%5.%6.%7."/>
      <w:lvlJc w:val="left"/>
      <w:pPr>
        <w:ind w:left="3927" w:hanging="1800"/>
      </w:pPr>
      <w:rPr>
        <w:rFonts w:hint="default"/>
      </w:rPr>
    </w:lvl>
    <w:lvl w:ilvl="7">
      <w:start w:val="1"/>
      <w:numFmt w:val="decimal"/>
      <w:isLgl/>
      <w:lvlText w:val="%1.%2.%3.%4.%5.%6.%7.%8."/>
      <w:lvlJc w:val="left"/>
      <w:pPr>
        <w:ind w:left="4287" w:hanging="2160"/>
      </w:pPr>
      <w:rPr>
        <w:rFonts w:hint="default"/>
      </w:rPr>
    </w:lvl>
    <w:lvl w:ilvl="8">
      <w:start w:val="1"/>
      <w:numFmt w:val="decimal"/>
      <w:isLgl/>
      <w:lvlText w:val="%1.%2.%3.%4.%5.%6.%7.%8.%9."/>
      <w:lvlJc w:val="left"/>
      <w:pPr>
        <w:ind w:left="4287" w:hanging="2160"/>
      </w:pPr>
      <w:rPr>
        <w:rFonts w:hint="default"/>
      </w:rPr>
    </w:lvl>
  </w:abstractNum>
  <w:abstractNum w:abstractNumId="7">
    <w:nsid w:val="31595FEF"/>
    <w:multiLevelType w:val="hybridMultilevel"/>
    <w:tmpl w:val="9DCAEA7E"/>
    <w:lvl w:ilvl="0" w:tplc="A39050D0">
      <w:start w:val="3"/>
      <w:numFmt w:val="bullet"/>
      <w:lvlText w:val="-"/>
      <w:lvlJc w:val="left"/>
      <w:pPr>
        <w:ind w:left="720" w:hanging="360"/>
      </w:pPr>
      <w:rPr>
        <w:rFonts w:ascii="Tahoma" w:eastAsia="Calibri" w:hAnsi="Tahoma" w:cs="Tahoma"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36AB07D5"/>
    <w:multiLevelType w:val="multilevel"/>
    <w:tmpl w:val="D83AEAD4"/>
    <w:lvl w:ilvl="0">
      <w:start w:val="1"/>
      <w:numFmt w:val="decimal"/>
      <w:pStyle w:val="PoglavjeNP"/>
      <w:lvlText w:val="%1"/>
      <w:lvlJc w:val="left"/>
      <w:pPr>
        <w:ind w:left="432" w:hanging="432"/>
      </w:pPr>
      <w:rPr>
        <w:b/>
        <w:sz w:val="32"/>
        <w:szCs w:val="32"/>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1">
    <w:nsid w:val="3AEA6295"/>
    <w:multiLevelType w:val="hybridMultilevel"/>
    <w:tmpl w:val="4FB6930E"/>
    <w:lvl w:ilvl="0" w:tplc="38EAF1F0">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3CCA5EC0"/>
    <w:multiLevelType w:val="hybridMultilevel"/>
    <w:tmpl w:val="4C78EC9A"/>
    <w:lvl w:ilvl="0" w:tplc="0424000F">
      <w:start w:val="1"/>
      <w:numFmt w:val="decimal"/>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41464A2A"/>
    <w:multiLevelType w:val="hybridMultilevel"/>
    <w:tmpl w:val="E1DC5994"/>
    <w:lvl w:ilvl="0" w:tplc="5DF05AE8">
      <w:start w:val="1"/>
      <w:numFmt w:val="bullet"/>
      <w:lvlText w:val="-"/>
      <w:lvlJc w:val="left"/>
      <w:pPr>
        <w:ind w:left="720" w:hanging="360"/>
      </w:pPr>
      <w:rPr>
        <w:rFonts w:ascii="Tahoma" w:eastAsia="Calibri" w:hAnsi="Tahoma" w:cs="Tahoma"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4601618B"/>
    <w:multiLevelType w:val="hybridMultilevel"/>
    <w:tmpl w:val="ACCA636E"/>
    <w:lvl w:ilvl="0" w:tplc="0424000F">
      <w:start w:val="1"/>
      <w:numFmt w:val="decimal"/>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467837C4"/>
    <w:multiLevelType w:val="hybridMultilevel"/>
    <w:tmpl w:val="C658CD1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46810C07"/>
    <w:multiLevelType w:val="hybridMultilevel"/>
    <w:tmpl w:val="5114D822"/>
    <w:lvl w:ilvl="0" w:tplc="6F520862">
      <w:numFmt w:val="bullet"/>
      <w:lvlText w:val="−"/>
      <w:lvlJc w:val="center"/>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4DBB5133"/>
    <w:multiLevelType w:val="hybridMultilevel"/>
    <w:tmpl w:val="B554E1A8"/>
    <w:lvl w:ilvl="0" w:tplc="D94E1496">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530C4AB9"/>
    <w:multiLevelType w:val="multilevel"/>
    <w:tmpl w:val="91423630"/>
    <w:lvl w:ilvl="0">
      <w:start w:val="4"/>
      <w:numFmt w:val="decimal"/>
      <w:lvlText w:val="%1."/>
      <w:lvlJc w:val="left"/>
      <w:pPr>
        <w:ind w:left="495" w:hanging="495"/>
      </w:pPr>
      <w:rPr>
        <w:rFonts w:hint="default"/>
      </w:rPr>
    </w:lvl>
    <w:lvl w:ilvl="1">
      <w:start w:val="2"/>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54115FC8"/>
    <w:multiLevelType w:val="hybridMultilevel"/>
    <w:tmpl w:val="F2822B24"/>
    <w:lvl w:ilvl="0" w:tplc="8D100CF8">
      <w:numFmt w:val="bullet"/>
      <w:lvlText w:val="-"/>
      <w:lvlJc w:val="left"/>
      <w:pPr>
        <w:ind w:left="720" w:hanging="360"/>
      </w:pPr>
      <w:rPr>
        <w:rFonts w:ascii="Calibri" w:eastAsia="Calibri" w:hAnsi="Calibri"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57174596"/>
    <w:multiLevelType w:val="multilevel"/>
    <w:tmpl w:val="60E0EE0E"/>
    <w:lvl w:ilvl="0">
      <w:start w:val="1"/>
      <w:numFmt w:val="decimal"/>
      <w:lvlText w:val="%1."/>
      <w:lvlJc w:val="left"/>
      <w:pPr>
        <w:ind w:left="720" w:hanging="360"/>
      </w:pPr>
      <w:rPr>
        <w:rFonts w:hint="default"/>
      </w:rPr>
    </w:lvl>
    <w:lvl w:ilvl="1">
      <w:start w:val="2"/>
      <w:numFmt w:val="decimal"/>
      <w:isLgl/>
      <w:lvlText w:val="%1.%2"/>
      <w:lvlJc w:val="left"/>
      <w:pPr>
        <w:ind w:left="975" w:hanging="435"/>
      </w:pPr>
      <w:rPr>
        <w:rFonts w:hint="default"/>
      </w:rPr>
    </w:lvl>
    <w:lvl w:ilvl="2">
      <w:start w:val="2"/>
      <w:numFmt w:val="decimal"/>
      <w:isLgl/>
      <w:lvlText w:val="%1.%2.%3"/>
      <w:lvlJc w:val="left"/>
      <w:pPr>
        <w:ind w:left="144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600" w:hanging="1800"/>
      </w:pPr>
      <w:rPr>
        <w:rFonts w:hint="default"/>
      </w:rPr>
    </w:lvl>
  </w:abstractNum>
  <w:abstractNum w:abstractNumId="21">
    <w:nsid w:val="5A2B78B3"/>
    <w:multiLevelType w:val="hybridMultilevel"/>
    <w:tmpl w:val="6C6A7DCE"/>
    <w:lvl w:ilvl="0" w:tplc="6F520862">
      <w:numFmt w:val="bullet"/>
      <w:lvlText w:val="−"/>
      <w:lvlJc w:val="center"/>
      <w:pPr>
        <w:ind w:left="720" w:hanging="360"/>
      </w:pPr>
      <w:rPr>
        <w:rFonts w:ascii="Times New Roman" w:eastAsia="Times New Roman" w:hAnsi="Times New Roman" w:cs="Times New Roman" w:hint="default"/>
      </w:rPr>
    </w:lvl>
    <w:lvl w:ilvl="1" w:tplc="6F520862">
      <w:numFmt w:val="bullet"/>
      <w:lvlText w:val="−"/>
      <w:lvlJc w:val="center"/>
      <w:pPr>
        <w:ind w:left="1440" w:hanging="360"/>
      </w:pPr>
      <w:rPr>
        <w:rFonts w:ascii="Times New Roman" w:eastAsia="Times New Roman" w:hAnsi="Times New Roman"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5E6D556B"/>
    <w:multiLevelType w:val="hybridMultilevel"/>
    <w:tmpl w:val="65D63DDC"/>
    <w:lvl w:ilvl="0" w:tplc="6F520862">
      <w:numFmt w:val="bullet"/>
      <w:lvlText w:val="−"/>
      <w:lvlJc w:val="center"/>
      <w:pPr>
        <w:ind w:left="754" w:hanging="360"/>
      </w:pPr>
      <w:rPr>
        <w:rFonts w:ascii="Times New Roman" w:eastAsia="Times New Roman" w:hAnsi="Times New Roman" w:cs="Times New Roman" w:hint="default"/>
      </w:rPr>
    </w:lvl>
    <w:lvl w:ilvl="1" w:tplc="04240003" w:tentative="1">
      <w:start w:val="1"/>
      <w:numFmt w:val="bullet"/>
      <w:lvlText w:val="o"/>
      <w:lvlJc w:val="left"/>
      <w:pPr>
        <w:ind w:left="1474" w:hanging="360"/>
      </w:pPr>
      <w:rPr>
        <w:rFonts w:ascii="Courier New" w:hAnsi="Courier New" w:cs="Courier New" w:hint="default"/>
      </w:rPr>
    </w:lvl>
    <w:lvl w:ilvl="2" w:tplc="04240005" w:tentative="1">
      <w:start w:val="1"/>
      <w:numFmt w:val="bullet"/>
      <w:lvlText w:val=""/>
      <w:lvlJc w:val="left"/>
      <w:pPr>
        <w:ind w:left="2194" w:hanging="360"/>
      </w:pPr>
      <w:rPr>
        <w:rFonts w:ascii="Wingdings" w:hAnsi="Wingdings" w:hint="default"/>
      </w:rPr>
    </w:lvl>
    <w:lvl w:ilvl="3" w:tplc="04240001" w:tentative="1">
      <w:start w:val="1"/>
      <w:numFmt w:val="bullet"/>
      <w:lvlText w:val=""/>
      <w:lvlJc w:val="left"/>
      <w:pPr>
        <w:ind w:left="2914" w:hanging="360"/>
      </w:pPr>
      <w:rPr>
        <w:rFonts w:ascii="Symbol" w:hAnsi="Symbol" w:hint="default"/>
      </w:rPr>
    </w:lvl>
    <w:lvl w:ilvl="4" w:tplc="04240003" w:tentative="1">
      <w:start w:val="1"/>
      <w:numFmt w:val="bullet"/>
      <w:lvlText w:val="o"/>
      <w:lvlJc w:val="left"/>
      <w:pPr>
        <w:ind w:left="3634" w:hanging="360"/>
      </w:pPr>
      <w:rPr>
        <w:rFonts w:ascii="Courier New" w:hAnsi="Courier New" w:cs="Courier New" w:hint="default"/>
      </w:rPr>
    </w:lvl>
    <w:lvl w:ilvl="5" w:tplc="04240005" w:tentative="1">
      <w:start w:val="1"/>
      <w:numFmt w:val="bullet"/>
      <w:lvlText w:val=""/>
      <w:lvlJc w:val="left"/>
      <w:pPr>
        <w:ind w:left="4354" w:hanging="360"/>
      </w:pPr>
      <w:rPr>
        <w:rFonts w:ascii="Wingdings" w:hAnsi="Wingdings" w:hint="default"/>
      </w:rPr>
    </w:lvl>
    <w:lvl w:ilvl="6" w:tplc="04240001" w:tentative="1">
      <w:start w:val="1"/>
      <w:numFmt w:val="bullet"/>
      <w:lvlText w:val=""/>
      <w:lvlJc w:val="left"/>
      <w:pPr>
        <w:ind w:left="5074" w:hanging="360"/>
      </w:pPr>
      <w:rPr>
        <w:rFonts w:ascii="Symbol" w:hAnsi="Symbol" w:hint="default"/>
      </w:rPr>
    </w:lvl>
    <w:lvl w:ilvl="7" w:tplc="04240003" w:tentative="1">
      <w:start w:val="1"/>
      <w:numFmt w:val="bullet"/>
      <w:lvlText w:val="o"/>
      <w:lvlJc w:val="left"/>
      <w:pPr>
        <w:ind w:left="5794" w:hanging="360"/>
      </w:pPr>
      <w:rPr>
        <w:rFonts w:ascii="Courier New" w:hAnsi="Courier New" w:cs="Courier New" w:hint="default"/>
      </w:rPr>
    </w:lvl>
    <w:lvl w:ilvl="8" w:tplc="04240005" w:tentative="1">
      <w:start w:val="1"/>
      <w:numFmt w:val="bullet"/>
      <w:lvlText w:val=""/>
      <w:lvlJc w:val="left"/>
      <w:pPr>
        <w:ind w:left="6514" w:hanging="360"/>
      </w:pPr>
      <w:rPr>
        <w:rFonts w:ascii="Wingdings" w:hAnsi="Wingdings" w:hint="default"/>
      </w:rPr>
    </w:lvl>
  </w:abstractNum>
  <w:abstractNum w:abstractNumId="24">
    <w:nsid w:val="61AF40C6"/>
    <w:multiLevelType w:val="hybridMultilevel"/>
    <w:tmpl w:val="1CB24A88"/>
    <w:lvl w:ilvl="0" w:tplc="E80E12AE">
      <w:start w:val="4"/>
      <w:numFmt w:val="bullet"/>
      <w:lvlText w:val="-"/>
      <w:lvlJc w:val="left"/>
      <w:pPr>
        <w:ind w:left="720" w:hanging="360"/>
      </w:pPr>
      <w:rPr>
        <w:rFonts w:ascii="Tahoma" w:eastAsia="Calibri" w:hAnsi="Tahoma" w:cs="Tahom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662615D7"/>
    <w:multiLevelType w:val="hybridMultilevel"/>
    <w:tmpl w:val="1C9E551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688B71F3"/>
    <w:multiLevelType w:val="hybridMultilevel"/>
    <w:tmpl w:val="E85EF0AC"/>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68FD7F04"/>
    <w:multiLevelType w:val="hybridMultilevel"/>
    <w:tmpl w:val="41085B32"/>
    <w:lvl w:ilvl="0" w:tplc="8D100CF8">
      <w:numFmt w:val="bullet"/>
      <w:lvlText w:val="-"/>
      <w:lvlJc w:val="left"/>
      <w:pPr>
        <w:ind w:left="360" w:hanging="360"/>
      </w:pPr>
      <w:rPr>
        <w:rFonts w:ascii="Calibri" w:eastAsia="Calibri" w:hAnsi="Calibri"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nsid w:val="699A1945"/>
    <w:multiLevelType w:val="hybridMultilevel"/>
    <w:tmpl w:val="5D76D698"/>
    <w:lvl w:ilvl="0" w:tplc="9968C782">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6B212A2F"/>
    <w:multiLevelType w:val="hybridMultilevel"/>
    <w:tmpl w:val="221288AE"/>
    <w:lvl w:ilvl="0" w:tplc="6F520862">
      <w:numFmt w:val="bullet"/>
      <w:lvlText w:val="−"/>
      <w:lvlJc w:val="center"/>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6D4E0F9F"/>
    <w:multiLevelType w:val="hybridMultilevel"/>
    <w:tmpl w:val="F6581FD6"/>
    <w:lvl w:ilvl="0" w:tplc="70E0DB16">
      <w:numFmt w:val="bullet"/>
      <w:lvlText w:val="-"/>
      <w:lvlJc w:val="left"/>
      <w:pPr>
        <w:ind w:left="1065" w:hanging="705"/>
      </w:pPr>
      <w:rPr>
        <w:rFonts w:ascii="Tahoma" w:eastAsia="Times New Roman" w:hAnsi="Tahoma" w:cs="Tahoma"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77A67E6E"/>
    <w:multiLevelType w:val="hybridMultilevel"/>
    <w:tmpl w:val="32E6F892"/>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3">
    <w:nsid w:val="7B0B205E"/>
    <w:multiLevelType w:val="hybridMultilevel"/>
    <w:tmpl w:val="37A2B5A0"/>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9"/>
  </w:num>
  <w:num w:numId="2">
    <w:abstractNumId w:val="10"/>
    <w:lvlOverride w:ilvl="0">
      <w:startOverride w:val="1"/>
    </w:lvlOverride>
  </w:num>
  <w:num w:numId="3">
    <w:abstractNumId w:val="3"/>
  </w:num>
  <w:num w:numId="4">
    <w:abstractNumId w:val="22"/>
  </w:num>
  <w:num w:numId="5">
    <w:abstractNumId w:val="26"/>
  </w:num>
  <w:num w:numId="6">
    <w:abstractNumId w:val="34"/>
  </w:num>
  <w:num w:numId="7">
    <w:abstractNumId w:val="23"/>
  </w:num>
  <w:num w:numId="8">
    <w:abstractNumId w:val="16"/>
  </w:num>
  <w:num w:numId="9">
    <w:abstractNumId w:val="30"/>
  </w:num>
  <w:num w:numId="10">
    <w:abstractNumId w:val="21"/>
  </w:num>
  <w:num w:numId="11">
    <w:abstractNumId w:val="31"/>
  </w:num>
  <w:num w:numId="12">
    <w:abstractNumId w:val="0"/>
  </w:num>
  <w:num w:numId="13">
    <w:abstractNumId w:val="15"/>
  </w:num>
  <w:num w:numId="14">
    <w:abstractNumId w:val="33"/>
  </w:num>
  <w:num w:numId="15">
    <w:abstractNumId w:val="27"/>
  </w:num>
  <w:num w:numId="16">
    <w:abstractNumId w:val="19"/>
  </w:num>
  <w:num w:numId="17">
    <w:abstractNumId w:val="7"/>
  </w:num>
  <w:num w:numId="18">
    <w:abstractNumId w:val="13"/>
  </w:num>
  <w:num w:numId="19">
    <w:abstractNumId w:val="14"/>
  </w:num>
  <w:num w:numId="20">
    <w:abstractNumId w:val="8"/>
  </w:num>
  <w:num w:numId="21">
    <w:abstractNumId w:val="11"/>
  </w:num>
  <w:num w:numId="22">
    <w:abstractNumId w:val="24"/>
  </w:num>
  <w:num w:numId="23">
    <w:abstractNumId w:val="32"/>
  </w:num>
  <w:num w:numId="24">
    <w:abstractNumId w:val="20"/>
  </w:num>
  <w:num w:numId="25">
    <w:abstractNumId w:val="6"/>
  </w:num>
  <w:num w:numId="26">
    <w:abstractNumId w:val="25"/>
  </w:num>
  <w:num w:numId="27">
    <w:abstractNumId w:val="12"/>
  </w:num>
  <w:num w:numId="28">
    <w:abstractNumId w:val="29"/>
  </w:num>
  <w:num w:numId="29">
    <w:abstractNumId w:val="1"/>
  </w:num>
  <w:num w:numId="30">
    <w:abstractNumId w:val="28"/>
  </w:num>
  <w:num w:numId="31">
    <w:abstractNumId w:val="17"/>
  </w:num>
  <w:num w:numId="32">
    <w:abstractNumId w:val="2"/>
  </w:num>
  <w:num w:numId="33">
    <w:abstractNumId w:val="4"/>
  </w:num>
  <w:num w:numId="34">
    <w:abstractNumId w:val="8"/>
    <w:lvlOverride w:ilvl="0">
      <w:startOverride w:val="4"/>
    </w:lvlOverride>
    <w:lvlOverride w:ilvl="1">
      <w:startOverride w:val="2"/>
    </w:lvlOverride>
    <w:lvlOverride w:ilvl="2">
      <w:startOverride w:val="1"/>
    </w:lvlOverride>
  </w:num>
  <w:num w:numId="35">
    <w:abstractNumId w:val="8"/>
    <w:lvlOverride w:ilvl="0">
      <w:startOverride w:val="4"/>
    </w:lvlOverride>
    <w:lvlOverride w:ilvl="1">
      <w:startOverride w:val="2"/>
    </w:lvlOverride>
    <w:lvlOverride w:ilvl="2">
      <w:startOverride w:val="1"/>
    </w:lvlOverride>
  </w:num>
  <w:num w:numId="36">
    <w:abstractNumId w:val="8"/>
    <w:lvlOverride w:ilvl="0">
      <w:startOverride w:val="4"/>
    </w:lvlOverride>
    <w:lvlOverride w:ilvl="1">
      <w:startOverride w:val="2"/>
    </w:lvlOverride>
    <w:lvlOverride w:ilvl="2">
      <w:startOverride w:val="2"/>
    </w:lvlOverride>
  </w:num>
  <w:num w:numId="37">
    <w:abstractNumId w:val="18"/>
  </w:num>
  <w:num w:numId="38">
    <w:abstractNumId w:val="9"/>
  </w:num>
  <w:num w:numId="39">
    <w:abstractNumId w:val="5"/>
  </w:num>
  <w:num w:numId="40">
    <w:abstractNumId w:val="8"/>
    <w:lvlOverride w:ilvl="0">
      <w:startOverride w:val="4"/>
    </w:lvlOverride>
    <w:lvlOverride w:ilvl="1">
      <w:startOverride w:val="5"/>
    </w:lvlOverride>
  </w:num>
  <w:num w:numId="41">
    <w:abstractNumId w:val="8"/>
    <w:lvlOverride w:ilvl="0">
      <w:startOverride w:val="4"/>
    </w:lvlOverride>
    <w:lvlOverride w:ilvl="1">
      <w:startOverride w:val="5"/>
    </w:lvlOverride>
    <w:lvlOverride w:ilvl="2">
      <w:startOverride w:val="5"/>
    </w:lvlOverride>
  </w:num>
  <w:num w:numId="42">
    <w:abstractNumId w:val="8"/>
    <w:lvlOverride w:ilvl="0">
      <w:startOverride w:val="4"/>
    </w:lvlOverride>
    <w:lvlOverride w:ilvl="1">
      <w:startOverride w:val="5"/>
    </w:lvlOverride>
    <w:lvlOverride w:ilvl="2">
      <w:startOverride w:val="2"/>
    </w:lvlOverride>
  </w:num>
  <w:num w:numId="43">
    <w:abstractNumId w:val="8"/>
    <w:lvlOverride w:ilvl="0">
      <w:startOverride w:val="5"/>
    </w:lvlOverride>
    <w:lvlOverride w:ilvl="1">
      <w:startOverride w:val="4"/>
    </w:lvlOverride>
    <w:lvlOverride w:ilvl="2">
      <w:startOverride w:val="1"/>
    </w:lvlOverride>
  </w:num>
  <w:numIdMacAtCleanup w:val="30"/>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dimijan leskovšek">
    <w15:presenceInfo w15:providerId="Windows Live" w15:userId="97d091437d83fe5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077"/>
    <w:rsid w:val="000025D6"/>
    <w:rsid w:val="000044DB"/>
    <w:rsid w:val="000050AF"/>
    <w:rsid w:val="000123AA"/>
    <w:rsid w:val="0002546E"/>
    <w:rsid w:val="00030AD9"/>
    <w:rsid w:val="0003491A"/>
    <w:rsid w:val="000355C2"/>
    <w:rsid w:val="00054F6F"/>
    <w:rsid w:val="0005797F"/>
    <w:rsid w:val="00062360"/>
    <w:rsid w:val="0006712C"/>
    <w:rsid w:val="000753CE"/>
    <w:rsid w:val="00086871"/>
    <w:rsid w:val="00086A7D"/>
    <w:rsid w:val="0009123E"/>
    <w:rsid w:val="00095660"/>
    <w:rsid w:val="00096875"/>
    <w:rsid w:val="000A4F54"/>
    <w:rsid w:val="000A6241"/>
    <w:rsid w:val="000B1D5D"/>
    <w:rsid w:val="000C5083"/>
    <w:rsid w:val="000C591F"/>
    <w:rsid w:val="000D399F"/>
    <w:rsid w:val="000D470B"/>
    <w:rsid w:val="000E056F"/>
    <w:rsid w:val="000E138A"/>
    <w:rsid w:val="000E3319"/>
    <w:rsid w:val="000E7A63"/>
    <w:rsid w:val="000E7B1D"/>
    <w:rsid w:val="000F6A1F"/>
    <w:rsid w:val="00100B5E"/>
    <w:rsid w:val="00106F61"/>
    <w:rsid w:val="00114CA9"/>
    <w:rsid w:val="00125CE3"/>
    <w:rsid w:val="0013138A"/>
    <w:rsid w:val="00131DD8"/>
    <w:rsid w:val="00133B8B"/>
    <w:rsid w:val="001402F1"/>
    <w:rsid w:val="00141058"/>
    <w:rsid w:val="00145915"/>
    <w:rsid w:val="00156F06"/>
    <w:rsid w:val="001654F6"/>
    <w:rsid w:val="00171BF0"/>
    <w:rsid w:val="00172457"/>
    <w:rsid w:val="00176CA5"/>
    <w:rsid w:val="001873D7"/>
    <w:rsid w:val="00195F48"/>
    <w:rsid w:val="00195FA2"/>
    <w:rsid w:val="001A44D5"/>
    <w:rsid w:val="001A69C3"/>
    <w:rsid w:val="001A798B"/>
    <w:rsid w:val="001B0A14"/>
    <w:rsid w:val="001B0AB2"/>
    <w:rsid w:val="001C056F"/>
    <w:rsid w:val="001C4FFE"/>
    <w:rsid w:val="001D0E71"/>
    <w:rsid w:val="001E04EB"/>
    <w:rsid w:val="001E5DA9"/>
    <w:rsid w:val="001F245F"/>
    <w:rsid w:val="001F3974"/>
    <w:rsid w:val="001F54A6"/>
    <w:rsid w:val="00202CAD"/>
    <w:rsid w:val="00205FC3"/>
    <w:rsid w:val="00206EB7"/>
    <w:rsid w:val="00212E8C"/>
    <w:rsid w:val="00213776"/>
    <w:rsid w:val="0021430F"/>
    <w:rsid w:val="00226B31"/>
    <w:rsid w:val="00233B1D"/>
    <w:rsid w:val="00233EDC"/>
    <w:rsid w:val="00233EED"/>
    <w:rsid w:val="002378A0"/>
    <w:rsid w:val="002400D4"/>
    <w:rsid w:val="002404C5"/>
    <w:rsid w:val="00241720"/>
    <w:rsid w:val="00245033"/>
    <w:rsid w:val="00255CC0"/>
    <w:rsid w:val="002577B1"/>
    <w:rsid w:val="00257DA9"/>
    <w:rsid w:val="00262580"/>
    <w:rsid w:val="00264ABB"/>
    <w:rsid w:val="00273EC6"/>
    <w:rsid w:val="00280695"/>
    <w:rsid w:val="00284D09"/>
    <w:rsid w:val="00285860"/>
    <w:rsid w:val="00286A26"/>
    <w:rsid w:val="00291179"/>
    <w:rsid w:val="00297AD8"/>
    <w:rsid w:val="002B3584"/>
    <w:rsid w:val="002B3E4A"/>
    <w:rsid w:val="002B46CC"/>
    <w:rsid w:val="002C19CD"/>
    <w:rsid w:val="002E0F7D"/>
    <w:rsid w:val="002E2575"/>
    <w:rsid w:val="002E4B67"/>
    <w:rsid w:val="002E701F"/>
    <w:rsid w:val="002E743C"/>
    <w:rsid w:val="002F07D8"/>
    <w:rsid w:val="002F10DB"/>
    <w:rsid w:val="002F1537"/>
    <w:rsid w:val="002F6A40"/>
    <w:rsid w:val="00315B49"/>
    <w:rsid w:val="0032442E"/>
    <w:rsid w:val="00325AF0"/>
    <w:rsid w:val="0032768D"/>
    <w:rsid w:val="00333B4D"/>
    <w:rsid w:val="0034306C"/>
    <w:rsid w:val="0035059A"/>
    <w:rsid w:val="00351BD5"/>
    <w:rsid w:val="00355B13"/>
    <w:rsid w:val="00357E04"/>
    <w:rsid w:val="00360183"/>
    <w:rsid w:val="00361FF1"/>
    <w:rsid w:val="003731AA"/>
    <w:rsid w:val="003740E3"/>
    <w:rsid w:val="00391217"/>
    <w:rsid w:val="00392C7C"/>
    <w:rsid w:val="003A0D78"/>
    <w:rsid w:val="003A2193"/>
    <w:rsid w:val="003B344A"/>
    <w:rsid w:val="003B4769"/>
    <w:rsid w:val="003C00BD"/>
    <w:rsid w:val="003C3680"/>
    <w:rsid w:val="003C38FF"/>
    <w:rsid w:val="003C6E56"/>
    <w:rsid w:val="003C7717"/>
    <w:rsid w:val="003D1AF7"/>
    <w:rsid w:val="003E1537"/>
    <w:rsid w:val="003E2D7F"/>
    <w:rsid w:val="003F5868"/>
    <w:rsid w:val="003F5F88"/>
    <w:rsid w:val="003F712A"/>
    <w:rsid w:val="00403424"/>
    <w:rsid w:val="0040696C"/>
    <w:rsid w:val="00425C71"/>
    <w:rsid w:val="004264A1"/>
    <w:rsid w:val="00427B9B"/>
    <w:rsid w:val="004320FD"/>
    <w:rsid w:val="00450266"/>
    <w:rsid w:val="00452605"/>
    <w:rsid w:val="0046060C"/>
    <w:rsid w:val="004634FC"/>
    <w:rsid w:val="00474645"/>
    <w:rsid w:val="00475FBF"/>
    <w:rsid w:val="0047795C"/>
    <w:rsid w:val="00481C18"/>
    <w:rsid w:val="00495FDC"/>
    <w:rsid w:val="004977FA"/>
    <w:rsid w:val="004A5FAA"/>
    <w:rsid w:val="004A7FBD"/>
    <w:rsid w:val="004B1F80"/>
    <w:rsid w:val="004C1077"/>
    <w:rsid w:val="004C7A0F"/>
    <w:rsid w:val="004D1F63"/>
    <w:rsid w:val="004D661A"/>
    <w:rsid w:val="004D7CCF"/>
    <w:rsid w:val="004E0EBF"/>
    <w:rsid w:val="004F2C25"/>
    <w:rsid w:val="004F4607"/>
    <w:rsid w:val="005010E0"/>
    <w:rsid w:val="00501FE5"/>
    <w:rsid w:val="0050383A"/>
    <w:rsid w:val="00503BFC"/>
    <w:rsid w:val="00506FB2"/>
    <w:rsid w:val="00523C18"/>
    <w:rsid w:val="00530C30"/>
    <w:rsid w:val="005310D9"/>
    <w:rsid w:val="00531C1D"/>
    <w:rsid w:val="00533D28"/>
    <w:rsid w:val="005367DB"/>
    <w:rsid w:val="00537669"/>
    <w:rsid w:val="005528B6"/>
    <w:rsid w:val="005536BB"/>
    <w:rsid w:val="0055458F"/>
    <w:rsid w:val="00557761"/>
    <w:rsid w:val="00563C17"/>
    <w:rsid w:val="0056745F"/>
    <w:rsid w:val="00571527"/>
    <w:rsid w:val="005778A2"/>
    <w:rsid w:val="0058451C"/>
    <w:rsid w:val="0058600B"/>
    <w:rsid w:val="0058728C"/>
    <w:rsid w:val="00591945"/>
    <w:rsid w:val="00593DBF"/>
    <w:rsid w:val="00596F13"/>
    <w:rsid w:val="005A1103"/>
    <w:rsid w:val="005A154F"/>
    <w:rsid w:val="005A530B"/>
    <w:rsid w:val="005B29C6"/>
    <w:rsid w:val="005B35E7"/>
    <w:rsid w:val="005B723E"/>
    <w:rsid w:val="005B7499"/>
    <w:rsid w:val="005C2E5A"/>
    <w:rsid w:val="005C35C5"/>
    <w:rsid w:val="005C35EB"/>
    <w:rsid w:val="005F10F9"/>
    <w:rsid w:val="00601EED"/>
    <w:rsid w:val="00602AA7"/>
    <w:rsid w:val="00606DE8"/>
    <w:rsid w:val="006102DD"/>
    <w:rsid w:val="00611E54"/>
    <w:rsid w:val="006163F3"/>
    <w:rsid w:val="00617207"/>
    <w:rsid w:val="0062052F"/>
    <w:rsid w:val="00626AE4"/>
    <w:rsid w:val="006338DD"/>
    <w:rsid w:val="0063511F"/>
    <w:rsid w:val="006351FA"/>
    <w:rsid w:val="00635C49"/>
    <w:rsid w:val="00637B06"/>
    <w:rsid w:val="00637E38"/>
    <w:rsid w:val="0064048F"/>
    <w:rsid w:val="00642F7F"/>
    <w:rsid w:val="006514BE"/>
    <w:rsid w:val="00653753"/>
    <w:rsid w:val="00655EE5"/>
    <w:rsid w:val="00656E14"/>
    <w:rsid w:val="00662E0B"/>
    <w:rsid w:val="00667828"/>
    <w:rsid w:val="00671976"/>
    <w:rsid w:val="00675345"/>
    <w:rsid w:val="00680F0B"/>
    <w:rsid w:val="00683301"/>
    <w:rsid w:val="00685418"/>
    <w:rsid w:val="006A028D"/>
    <w:rsid w:val="006A5864"/>
    <w:rsid w:val="006A75C8"/>
    <w:rsid w:val="006B08DA"/>
    <w:rsid w:val="006C31AB"/>
    <w:rsid w:val="006C6635"/>
    <w:rsid w:val="006D12CD"/>
    <w:rsid w:val="006D771B"/>
    <w:rsid w:val="006E0350"/>
    <w:rsid w:val="006E681C"/>
    <w:rsid w:val="006F3E85"/>
    <w:rsid w:val="006F4927"/>
    <w:rsid w:val="006F502C"/>
    <w:rsid w:val="00700B92"/>
    <w:rsid w:val="00701644"/>
    <w:rsid w:val="007035E8"/>
    <w:rsid w:val="00704CA8"/>
    <w:rsid w:val="00704EEE"/>
    <w:rsid w:val="00706F69"/>
    <w:rsid w:val="007077DF"/>
    <w:rsid w:val="00710A54"/>
    <w:rsid w:val="00715CD2"/>
    <w:rsid w:val="00721618"/>
    <w:rsid w:val="00737455"/>
    <w:rsid w:val="00742416"/>
    <w:rsid w:val="0074353D"/>
    <w:rsid w:val="007445B5"/>
    <w:rsid w:val="0074500F"/>
    <w:rsid w:val="00746177"/>
    <w:rsid w:val="0074697B"/>
    <w:rsid w:val="00750633"/>
    <w:rsid w:val="0076089C"/>
    <w:rsid w:val="00760EC9"/>
    <w:rsid w:val="0076285F"/>
    <w:rsid w:val="007654C2"/>
    <w:rsid w:val="0077131A"/>
    <w:rsid w:val="00775CF5"/>
    <w:rsid w:val="007772D6"/>
    <w:rsid w:val="00781D32"/>
    <w:rsid w:val="007826FC"/>
    <w:rsid w:val="00783B64"/>
    <w:rsid w:val="00786FD9"/>
    <w:rsid w:val="00787EF2"/>
    <w:rsid w:val="00792F34"/>
    <w:rsid w:val="007950DE"/>
    <w:rsid w:val="00795507"/>
    <w:rsid w:val="007A48B2"/>
    <w:rsid w:val="007A62C5"/>
    <w:rsid w:val="007A7C23"/>
    <w:rsid w:val="007C5620"/>
    <w:rsid w:val="007C7DD2"/>
    <w:rsid w:val="007E44E8"/>
    <w:rsid w:val="007E6323"/>
    <w:rsid w:val="007F1E20"/>
    <w:rsid w:val="007F3324"/>
    <w:rsid w:val="007F4991"/>
    <w:rsid w:val="00800183"/>
    <w:rsid w:val="00806DB3"/>
    <w:rsid w:val="00812B0A"/>
    <w:rsid w:val="008148A9"/>
    <w:rsid w:val="00814A93"/>
    <w:rsid w:val="0082033B"/>
    <w:rsid w:val="0083194D"/>
    <w:rsid w:val="008401C9"/>
    <w:rsid w:val="008440D0"/>
    <w:rsid w:val="00850D78"/>
    <w:rsid w:val="0086023C"/>
    <w:rsid w:val="008661AD"/>
    <w:rsid w:val="0087321D"/>
    <w:rsid w:val="00875E9C"/>
    <w:rsid w:val="008813F1"/>
    <w:rsid w:val="0088374E"/>
    <w:rsid w:val="00884691"/>
    <w:rsid w:val="00894733"/>
    <w:rsid w:val="008A09E7"/>
    <w:rsid w:val="008A14D4"/>
    <w:rsid w:val="008A342E"/>
    <w:rsid w:val="008A3EE1"/>
    <w:rsid w:val="008A4458"/>
    <w:rsid w:val="008A57C5"/>
    <w:rsid w:val="008A7778"/>
    <w:rsid w:val="008B0E74"/>
    <w:rsid w:val="008B10BB"/>
    <w:rsid w:val="008B1A82"/>
    <w:rsid w:val="008B2D54"/>
    <w:rsid w:val="008B3A3E"/>
    <w:rsid w:val="008C14BE"/>
    <w:rsid w:val="008C19E2"/>
    <w:rsid w:val="008C2643"/>
    <w:rsid w:val="008C689B"/>
    <w:rsid w:val="008C7CD3"/>
    <w:rsid w:val="008E1ED8"/>
    <w:rsid w:val="008F0078"/>
    <w:rsid w:val="008F00D8"/>
    <w:rsid w:val="008F02D6"/>
    <w:rsid w:val="008F2B97"/>
    <w:rsid w:val="008F410F"/>
    <w:rsid w:val="008F415B"/>
    <w:rsid w:val="008F44FB"/>
    <w:rsid w:val="008F7453"/>
    <w:rsid w:val="008F7B85"/>
    <w:rsid w:val="009047E1"/>
    <w:rsid w:val="00906D92"/>
    <w:rsid w:val="009072CC"/>
    <w:rsid w:val="00907E12"/>
    <w:rsid w:val="00911555"/>
    <w:rsid w:val="00912E5D"/>
    <w:rsid w:val="00932F39"/>
    <w:rsid w:val="0093313C"/>
    <w:rsid w:val="00936357"/>
    <w:rsid w:val="00937690"/>
    <w:rsid w:val="00943B60"/>
    <w:rsid w:val="00954EC9"/>
    <w:rsid w:val="0096137A"/>
    <w:rsid w:val="00963EDA"/>
    <w:rsid w:val="009915B2"/>
    <w:rsid w:val="009A110B"/>
    <w:rsid w:val="009A459C"/>
    <w:rsid w:val="009A6584"/>
    <w:rsid w:val="009B009E"/>
    <w:rsid w:val="009B0F75"/>
    <w:rsid w:val="009B45A5"/>
    <w:rsid w:val="009B5763"/>
    <w:rsid w:val="009B6DF8"/>
    <w:rsid w:val="009D4BAD"/>
    <w:rsid w:val="009D64C7"/>
    <w:rsid w:val="009D7319"/>
    <w:rsid w:val="009F1F2B"/>
    <w:rsid w:val="00A02612"/>
    <w:rsid w:val="00A12279"/>
    <w:rsid w:val="00A13B0C"/>
    <w:rsid w:val="00A17C5A"/>
    <w:rsid w:val="00A2151E"/>
    <w:rsid w:val="00A267D6"/>
    <w:rsid w:val="00A31433"/>
    <w:rsid w:val="00A41EF1"/>
    <w:rsid w:val="00A46A45"/>
    <w:rsid w:val="00A46C26"/>
    <w:rsid w:val="00A56B63"/>
    <w:rsid w:val="00A61B95"/>
    <w:rsid w:val="00A67192"/>
    <w:rsid w:val="00A75DBB"/>
    <w:rsid w:val="00A76992"/>
    <w:rsid w:val="00A80D2E"/>
    <w:rsid w:val="00A81F5C"/>
    <w:rsid w:val="00A850B4"/>
    <w:rsid w:val="00A85D47"/>
    <w:rsid w:val="00A91EB3"/>
    <w:rsid w:val="00A94A9F"/>
    <w:rsid w:val="00A95E71"/>
    <w:rsid w:val="00AA11A4"/>
    <w:rsid w:val="00AA33A0"/>
    <w:rsid w:val="00AA3EA1"/>
    <w:rsid w:val="00AA5EBF"/>
    <w:rsid w:val="00AB3AC6"/>
    <w:rsid w:val="00AB54D8"/>
    <w:rsid w:val="00AE6D2A"/>
    <w:rsid w:val="00AF24E1"/>
    <w:rsid w:val="00AF4071"/>
    <w:rsid w:val="00AF505A"/>
    <w:rsid w:val="00AF6E1D"/>
    <w:rsid w:val="00AF7A0A"/>
    <w:rsid w:val="00B04878"/>
    <w:rsid w:val="00B05D13"/>
    <w:rsid w:val="00B110CF"/>
    <w:rsid w:val="00B12819"/>
    <w:rsid w:val="00B1296C"/>
    <w:rsid w:val="00B14706"/>
    <w:rsid w:val="00B21D71"/>
    <w:rsid w:val="00B23BEE"/>
    <w:rsid w:val="00B326C7"/>
    <w:rsid w:val="00B35441"/>
    <w:rsid w:val="00B36272"/>
    <w:rsid w:val="00B366F2"/>
    <w:rsid w:val="00B46635"/>
    <w:rsid w:val="00B479F4"/>
    <w:rsid w:val="00B53481"/>
    <w:rsid w:val="00B574D0"/>
    <w:rsid w:val="00B61F78"/>
    <w:rsid w:val="00B62176"/>
    <w:rsid w:val="00B62D68"/>
    <w:rsid w:val="00B62DC6"/>
    <w:rsid w:val="00B65AA9"/>
    <w:rsid w:val="00B70049"/>
    <w:rsid w:val="00B73DE4"/>
    <w:rsid w:val="00B8597E"/>
    <w:rsid w:val="00B8684A"/>
    <w:rsid w:val="00B92ECD"/>
    <w:rsid w:val="00B944C4"/>
    <w:rsid w:val="00B94CEB"/>
    <w:rsid w:val="00B96EE4"/>
    <w:rsid w:val="00BA066E"/>
    <w:rsid w:val="00BA2793"/>
    <w:rsid w:val="00BB1831"/>
    <w:rsid w:val="00BB2AA5"/>
    <w:rsid w:val="00BB4EC8"/>
    <w:rsid w:val="00BC4315"/>
    <w:rsid w:val="00BD3BB1"/>
    <w:rsid w:val="00BD4DFB"/>
    <w:rsid w:val="00BE0702"/>
    <w:rsid w:val="00BF1663"/>
    <w:rsid w:val="00C04B10"/>
    <w:rsid w:val="00C05CB9"/>
    <w:rsid w:val="00C0625F"/>
    <w:rsid w:val="00C1387F"/>
    <w:rsid w:val="00C14661"/>
    <w:rsid w:val="00C30E48"/>
    <w:rsid w:val="00C337DD"/>
    <w:rsid w:val="00C3731D"/>
    <w:rsid w:val="00C448AE"/>
    <w:rsid w:val="00C45FBB"/>
    <w:rsid w:val="00C50D64"/>
    <w:rsid w:val="00C54157"/>
    <w:rsid w:val="00C5699D"/>
    <w:rsid w:val="00C670AB"/>
    <w:rsid w:val="00C74FBE"/>
    <w:rsid w:val="00C83845"/>
    <w:rsid w:val="00C84D10"/>
    <w:rsid w:val="00C91176"/>
    <w:rsid w:val="00C94F64"/>
    <w:rsid w:val="00CA29C9"/>
    <w:rsid w:val="00CA3B7B"/>
    <w:rsid w:val="00CA6E16"/>
    <w:rsid w:val="00CA75C0"/>
    <w:rsid w:val="00CB4667"/>
    <w:rsid w:val="00CC4CF0"/>
    <w:rsid w:val="00CC5F54"/>
    <w:rsid w:val="00CD1BFC"/>
    <w:rsid w:val="00CD3F55"/>
    <w:rsid w:val="00CD504D"/>
    <w:rsid w:val="00CE2CBF"/>
    <w:rsid w:val="00CE31EF"/>
    <w:rsid w:val="00CE5121"/>
    <w:rsid w:val="00CF5074"/>
    <w:rsid w:val="00D000B5"/>
    <w:rsid w:val="00D11434"/>
    <w:rsid w:val="00D143D0"/>
    <w:rsid w:val="00D1451F"/>
    <w:rsid w:val="00D165DA"/>
    <w:rsid w:val="00D22D9B"/>
    <w:rsid w:val="00D27950"/>
    <w:rsid w:val="00D43A88"/>
    <w:rsid w:val="00D462AF"/>
    <w:rsid w:val="00D471D2"/>
    <w:rsid w:val="00D53DAB"/>
    <w:rsid w:val="00D545BC"/>
    <w:rsid w:val="00D572A7"/>
    <w:rsid w:val="00D5780A"/>
    <w:rsid w:val="00D57D8A"/>
    <w:rsid w:val="00D62181"/>
    <w:rsid w:val="00D65680"/>
    <w:rsid w:val="00D65BA6"/>
    <w:rsid w:val="00D67D49"/>
    <w:rsid w:val="00D711D5"/>
    <w:rsid w:val="00D71E9F"/>
    <w:rsid w:val="00D723E2"/>
    <w:rsid w:val="00D72964"/>
    <w:rsid w:val="00D735CB"/>
    <w:rsid w:val="00D77DC5"/>
    <w:rsid w:val="00D82B10"/>
    <w:rsid w:val="00D91CF7"/>
    <w:rsid w:val="00D91D1F"/>
    <w:rsid w:val="00D92CAA"/>
    <w:rsid w:val="00D937F3"/>
    <w:rsid w:val="00D94826"/>
    <w:rsid w:val="00D95876"/>
    <w:rsid w:val="00D975AF"/>
    <w:rsid w:val="00D97719"/>
    <w:rsid w:val="00DA05EE"/>
    <w:rsid w:val="00DA5FE4"/>
    <w:rsid w:val="00DA7B79"/>
    <w:rsid w:val="00DB3332"/>
    <w:rsid w:val="00DB68CE"/>
    <w:rsid w:val="00DC3520"/>
    <w:rsid w:val="00DC3F9B"/>
    <w:rsid w:val="00DD3BCF"/>
    <w:rsid w:val="00DD4731"/>
    <w:rsid w:val="00DD5BD2"/>
    <w:rsid w:val="00DE0C44"/>
    <w:rsid w:val="00DE2902"/>
    <w:rsid w:val="00DE3C4F"/>
    <w:rsid w:val="00DE6BE7"/>
    <w:rsid w:val="00DE6D81"/>
    <w:rsid w:val="00DF44C2"/>
    <w:rsid w:val="00E056D9"/>
    <w:rsid w:val="00E06303"/>
    <w:rsid w:val="00E07EAC"/>
    <w:rsid w:val="00E12291"/>
    <w:rsid w:val="00E150A6"/>
    <w:rsid w:val="00E1536E"/>
    <w:rsid w:val="00E21726"/>
    <w:rsid w:val="00E306AE"/>
    <w:rsid w:val="00E36BC2"/>
    <w:rsid w:val="00E453D0"/>
    <w:rsid w:val="00E45823"/>
    <w:rsid w:val="00E476FE"/>
    <w:rsid w:val="00E50485"/>
    <w:rsid w:val="00E542E9"/>
    <w:rsid w:val="00E54D39"/>
    <w:rsid w:val="00E564A6"/>
    <w:rsid w:val="00E6001D"/>
    <w:rsid w:val="00E6258A"/>
    <w:rsid w:val="00E633E4"/>
    <w:rsid w:val="00E706C0"/>
    <w:rsid w:val="00E7097B"/>
    <w:rsid w:val="00E757E2"/>
    <w:rsid w:val="00E7683A"/>
    <w:rsid w:val="00E773B7"/>
    <w:rsid w:val="00E7752F"/>
    <w:rsid w:val="00E87A04"/>
    <w:rsid w:val="00E95832"/>
    <w:rsid w:val="00E9587E"/>
    <w:rsid w:val="00E96DB5"/>
    <w:rsid w:val="00EA76A8"/>
    <w:rsid w:val="00EB433D"/>
    <w:rsid w:val="00EC1457"/>
    <w:rsid w:val="00EC1BA6"/>
    <w:rsid w:val="00ED273C"/>
    <w:rsid w:val="00ED5666"/>
    <w:rsid w:val="00ED5CC7"/>
    <w:rsid w:val="00ED6399"/>
    <w:rsid w:val="00EE0D29"/>
    <w:rsid w:val="00EF2309"/>
    <w:rsid w:val="00F00427"/>
    <w:rsid w:val="00F014EE"/>
    <w:rsid w:val="00F02B4B"/>
    <w:rsid w:val="00F152C4"/>
    <w:rsid w:val="00F244DF"/>
    <w:rsid w:val="00F405CF"/>
    <w:rsid w:val="00F40F30"/>
    <w:rsid w:val="00F4226A"/>
    <w:rsid w:val="00F42EB0"/>
    <w:rsid w:val="00F5111D"/>
    <w:rsid w:val="00F520A6"/>
    <w:rsid w:val="00F531ED"/>
    <w:rsid w:val="00F54F88"/>
    <w:rsid w:val="00F56084"/>
    <w:rsid w:val="00F56103"/>
    <w:rsid w:val="00F64F8B"/>
    <w:rsid w:val="00F65D90"/>
    <w:rsid w:val="00F7393D"/>
    <w:rsid w:val="00F74FBA"/>
    <w:rsid w:val="00F823D3"/>
    <w:rsid w:val="00F92E4F"/>
    <w:rsid w:val="00FA027D"/>
    <w:rsid w:val="00FA1AEB"/>
    <w:rsid w:val="00FA5D2D"/>
    <w:rsid w:val="00FA6F4B"/>
    <w:rsid w:val="00FB21B8"/>
    <w:rsid w:val="00FB26DA"/>
    <w:rsid w:val="00FB3CF3"/>
    <w:rsid w:val="00FC1EC0"/>
    <w:rsid w:val="00FC412D"/>
    <w:rsid w:val="00FE2404"/>
    <w:rsid w:val="00FF2EF3"/>
    <w:rsid w:val="00FF3C3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iPriority="39" w:qFormat="1"/>
    <w:lsdException w:name="toc 3" w:uiPriority="39" w:qFormat="1"/>
    <w:lsdException w:name="header" w:uiPriority="9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AF505A"/>
    <w:pPr>
      <w:suppressAutoHyphens/>
    </w:pPr>
    <w:rPr>
      <w:sz w:val="24"/>
      <w:szCs w:val="24"/>
      <w:lang w:eastAsia="ar-SA"/>
    </w:rPr>
  </w:style>
  <w:style w:type="paragraph" w:styleId="Naslov1">
    <w:name w:val="heading 1"/>
    <w:aliases w:val="Heading 1 Char,Heading 1 Char1 Char1,Heading 1 Char Char Char1,Heading 1 Char1 Char1 Char Char,Heading 1 Char Char Char1 Char Char,Heading 1 Char Char1,Heading 1 Char1 Char1 Char1,Heading 1 Char Char Char1 Char1,Poglavje1,Heading 1si"/>
    <w:basedOn w:val="Navaden"/>
    <w:next w:val="Navaden"/>
    <w:link w:val="Naslov1Znak"/>
    <w:uiPriority w:val="9"/>
    <w:qFormat/>
    <w:rsid w:val="000E138A"/>
    <w:pPr>
      <w:keepNext/>
      <w:suppressAutoHyphens w:val="0"/>
      <w:overflowPunct w:val="0"/>
      <w:autoSpaceDE w:val="0"/>
      <w:autoSpaceDN w:val="0"/>
      <w:adjustRightInd w:val="0"/>
      <w:spacing w:before="240" w:after="60"/>
      <w:jc w:val="both"/>
      <w:textAlignment w:val="baseline"/>
      <w:outlineLvl w:val="0"/>
    </w:pPr>
    <w:rPr>
      <w:rFonts w:ascii="Arial" w:hAnsi="Arial" w:cs="Arial"/>
      <w:b/>
      <w:bCs/>
      <w:kern w:val="32"/>
      <w:sz w:val="32"/>
      <w:szCs w:val="32"/>
      <w:lang w:eastAsia="en-US"/>
    </w:rPr>
  </w:style>
  <w:style w:type="paragraph" w:styleId="Naslov2">
    <w:name w:val="heading 2"/>
    <w:basedOn w:val="podpoglavjeNP"/>
    <w:next w:val="Navaden"/>
    <w:link w:val="Naslov2Znak"/>
    <w:qFormat/>
    <w:rsid w:val="001B0A14"/>
    <w:pPr>
      <w:outlineLvl w:val="1"/>
    </w:pPr>
  </w:style>
  <w:style w:type="paragraph" w:styleId="Naslov3">
    <w:name w:val="heading 3"/>
    <w:basedOn w:val="Oddelek"/>
    <w:next w:val="Navaden"/>
    <w:link w:val="Naslov3Znak"/>
    <w:qFormat/>
    <w:rsid w:val="00C448AE"/>
    <w:pPr>
      <w:numPr>
        <w:numId w:val="0"/>
      </w:numPr>
      <w:suppressAutoHyphens w:val="0"/>
      <w:spacing w:before="0" w:after="0" w:line="240" w:lineRule="auto"/>
      <w:jc w:val="both"/>
      <w:outlineLvl w:val="2"/>
    </w:pPr>
    <w:rPr>
      <w:sz w:val="20"/>
      <w:szCs w:val="20"/>
    </w:rPr>
  </w:style>
  <w:style w:type="paragraph" w:styleId="Naslov4">
    <w:name w:val="heading 4"/>
    <w:basedOn w:val="Navaden"/>
    <w:next w:val="Navaden"/>
    <w:link w:val="Naslov4Znak"/>
    <w:unhideWhenUsed/>
    <w:qFormat/>
    <w:rsid w:val="00B1296C"/>
    <w:pPr>
      <w:keepNext/>
      <w:keepLines/>
      <w:spacing w:before="200"/>
      <w:outlineLvl w:val="3"/>
    </w:pPr>
    <w:rPr>
      <w:rFonts w:asciiTheme="majorHAnsi" w:eastAsiaTheme="majorEastAsia" w:hAnsiTheme="majorHAnsi" w:cstheme="majorBidi"/>
      <w:b/>
      <w:bCs/>
      <w:i/>
      <w:iCs/>
      <w:color w:val="5B9BD5" w:themeColor="accent1"/>
    </w:rPr>
  </w:style>
  <w:style w:type="paragraph" w:styleId="Naslov5">
    <w:name w:val="heading 5"/>
    <w:basedOn w:val="Navaden"/>
    <w:next w:val="Navaden"/>
    <w:link w:val="Naslov5Znak"/>
    <w:qFormat/>
    <w:rsid w:val="00D91D1F"/>
    <w:pPr>
      <w:spacing w:before="240" w:after="60"/>
      <w:ind w:left="1008" w:hanging="1008"/>
      <w:outlineLvl w:val="4"/>
    </w:pPr>
    <w:rPr>
      <w:rFonts w:ascii="Calibri" w:hAnsi="Calibri"/>
      <w:b/>
      <w:bCs/>
      <w:i/>
      <w:iCs/>
      <w:sz w:val="26"/>
      <w:szCs w:val="26"/>
    </w:rPr>
  </w:style>
  <w:style w:type="paragraph" w:styleId="Naslov6">
    <w:name w:val="heading 6"/>
    <w:basedOn w:val="Navaden"/>
    <w:next w:val="Navaden"/>
    <w:link w:val="Naslov6Znak"/>
    <w:qFormat/>
    <w:rsid w:val="00D91D1F"/>
    <w:pPr>
      <w:spacing w:before="240" w:after="60"/>
      <w:ind w:left="1152" w:hanging="1152"/>
      <w:outlineLvl w:val="5"/>
    </w:pPr>
    <w:rPr>
      <w:rFonts w:ascii="Calibri" w:hAnsi="Calibri"/>
      <w:b/>
      <w:bCs/>
      <w:sz w:val="22"/>
      <w:szCs w:val="22"/>
    </w:rPr>
  </w:style>
  <w:style w:type="paragraph" w:styleId="Naslov7">
    <w:name w:val="heading 7"/>
    <w:basedOn w:val="Navaden"/>
    <w:next w:val="Navaden"/>
    <w:link w:val="Naslov7Znak"/>
    <w:qFormat/>
    <w:rsid w:val="00D91D1F"/>
    <w:pPr>
      <w:spacing w:before="240" w:after="60"/>
      <w:ind w:left="1296" w:hanging="1296"/>
      <w:outlineLvl w:val="6"/>
    </w:pPr>
    <w:rPr>
      <w:rFonts w:ascii="Calibri" w:hAnsi="Calibri"/>
      <w:sz w:val="22"/>
    </w:rPr>
  </w:style>
  <w:style w:type="paragraph" w:styleId="Naslov8">
    <w:name w:val="heading 8"/>
    <w:basedOn w:val="Navaden"/>
    <w:next w:val="Navaden"/>
    <w:link w:val="Naslov8Znak"/>
    <w:qFormat/>
    <w:rsid w:val="00D91D1F"/>
    <w:pPr>
      <w:spacing w:before="240" w:after="60"/>
      <w:ind w:left="1440" w:hanging="1440"/>
      <w:outlineLvl w:val="7"/>
    </w:pPr>
    <w:rPr>
      <w:rFonts w:ascii="Calibri" w:hAnsi="Calibri"/>
      <w:i/>
      <w:iCs/>
      <w:sz w:val="22"/>
    </w:rPr>
  </w:style>
  <w:style w:type="paragraph" w:styleId="Naslov9">
    <w:name w:val="heading 9"/>
    <w:basedOn w:val="Navaden"/>
    <w:next w:val="Navaden"/>
    <w:link w:val="Naslov9Znak"/>
    <w:qFormat/>
    <w:rsid w:val="00D91D1F"/>
    <w:pPr>
      <w:spacing w:before="240" w:after="60"/>
      <w:ind w:left="1584" w:hanging="1584"/>
      <w:outlineLvl w:val="8"/>
    </w:pPr>
    <w:rPr>
      <w:rFonts w:ascii="Cambria" w:hAnsi="Cambria"/>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uiPriority w:val="99"/>
    <w:rsid w:val="000E138A"/>
    <w:rPr>
      <w:color w:val="000080"/>
      <w:u w:val="single"/>
    </w:rPr>
  </w:style>
  <w:style w:type="paragraph" w:styleId="Noga">
    <w:name w:val="footer"/>
    <w:basedOn w:val="Navaden"/>
    <w:link w:val="NogaZnak"/>
    <w:uiPriority w:val="99"/>
    <w:rsid w:val="000E138A"/>
    <w:pPr>
      <w:tabs>
        <w:tab w:val="center" w:pos="4536"/>
        <w:tab w:val="right" w:pos="9072"/>
      </w:tabs>
    </w:pPr>
  </w:style>
  <w:style w:type="character" w:customStyle="1" w:styleId="Naslov1Znak">
    <w:name w:val="Naslov 1 Znak"/>
    <w:aliases w:val="Heading 1 Char Znak,Heading 1 Char1 Char1 Znak,Heading 1 Char Char Char1 Znak,Heading 1 Char1 Char1 Char Char Znak,Heading 1 Char Char Char1 Char Char Znak,Heading 1 Char Char1 Znak,Heading 1 Char1 Char1 Char1 Znak,Poglavje1 Znak"/>
    <w:link w:val="Naslov1"/>
    <w:uiPriority w:val="9"/>
    <w:rsid w:val="000E138A"/>
    <w:rPr>
      <w:rFonts w:ascii="Arial" w:hAnsi="Arial" w:cs="Arial"/>
      <w:b/>
      <w:bCs/>
      <w:kern w:val="32"/>
      <w:sz w:val="32"/>
      <w:szCs w:val="32"/>
      <w:lang w:val="sl-SI" w:eastAsia="en-US" w:bidi="ar-SA"/>
    </w:rPr>
  </w:style>
  <w:style w:type="paragraph" w:customStyle="1" w:styleId="Odstavekseznama1">
    <w:name w:val="Odstavek seznama1"/>
    <w:basedOn w:val="Navaden"/>
    <w:qFormat/>
    <w:rsid w:val="000E138A"/>
    <w:pPr>
      <w:suppressAutoHyphens w:val="0"/>
      <w:ind w:left="720"/>
      <w:contextualSpacing/>
    </w:pPr>
    <w:rPr>
      <w:lang w:eastAsia="sl-SI"/>
    </w:rPr>
  </w:style>
  <w:style w:type="paragraph" w:customStyle="1" w:styleId="Vrstapredpisa">
    <w:name w:val="Vrsta predpisa"/>
    <w:basedOn w:val="Navaden"/>
    <w:link w:val="VrstapredpisaZnak"/>
    <w:qFormat/>
    <w:rsid w:val="000E138A"/>
    <w:pPr>
      <w:overflowPunct w:val="0"/>
      <w:autoSpaceDE w:val="0"/>
      <w:autoSpaceDN w:val="0"/>
      <w:adjustRightInd w:val="0"/>
      <w:spacing w:before="360" w:line="220" w:lineRule="exact"/>
      <w:jc w:val="center"/>
      <w:textAlignment w:val="baseline"/>
    </w:pPr>
    <w:rPr>
      <w:rFonts w:ascii="Arial" w:hAnsi="Arial" w:cs="Arial"/>
      <w:b/>
      <w:bCs/>
      <w:color w:val="000000"/>
      <w:spacing w:val="40"/>
      <w:sz w:val="22"/>
      <w:szCs w:val="22"/>
      <w:lang w:eastAsia="sl-SI"/>
    </w:rPr>
  </w:style>
  <w:style w:type="character" w:customStyle="1" w:styleId="VrstapredpisaZnak">
    <w:name w:val="Vrsta predpisa Znak"/>
    <w:link w:val="Vrstapredpisa"/>
    <w:rsid w:val="000E138A"/>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0E138A"/>
    <w:pPr>
      <w:overflowPunct w:val="0"/>
      <w:autoSpaceDE w:val="0"/>
      <w:autoSpaceDN w:val="0"/>
      <w:adjustRightInd w:val="0"/>
      <w:spacing w:before="120" w:after="160" w:line="200" w:lineRule="exact"/>
      <w:jc w:val="center"/>
      <w:textAlignment w:val="baseline"/>
    </w:pPr>
    <w:rPr>
      <w:rFonts w:ascii="Arial" w:hAnsi="Arial" w:cs="Arial"/>
      <w:b/>
      <w:sz w:val="22"/>
      <w:szCs w:val="22"/>
      <w:lang w:eastAsia="sl-SI"/>
    </w:rPr>
  </w:style>
  <w:style w:type="character" w:customStyle="1" w:styleId="NaslovpredpisaZnak">
    <w:name w:val="Naslov_predpisa Znak"/>
    <w:link w:val="Naslovpredpisa"/>
    <w:rsid w:val="000E138A"/>
    <w:rPr>
      <w:rFonts w:ascii="Arial" w:hAnsi="Arial" w:cs="Arial"/>
      <w:b/>
      <w:sz w:val="22"/>
      <w:szCs w:val="22"/>
      <w:lang w:val="sl-SI" w:eastAsia="sl-SI" w:bidi="ar-SA"/>
    </w:rPr>
  </w:style>
  <w:style w:type="paragraph" w:customStyle="1" w:styleId="Poglavje">
    <w:name w:val="Poglavje"/>
    <w:basedOn w:val="Navaden"/>
    <w:qFormat/>
    <w:rsid w:val="000E138A"/>
    <w:pPr>
      <w:overflowPunct w:val="0"/>
      <w:autoSpaceDE w:val="0"/>
      <w:autoSpaceDN w:val="0"/>
      <w:adjustRightInd w:val="0"/>
      <w:spacing w:before="360" w:after="60" w:line="200" w:lineRule="exact"/>
      <w:jc w:val="center"/>
      <w:textAlignment w:val="baseline"/>
      <w:outlineLvl w:val="3"/>
    </w:pPr>
    <w:rPr>
      <w:rFonts w:ascii="Arial" w:hAnsi="Arial" w:cs="Arial"/>
      <w:b/>
      <w:sz w:val="22"/>
      <w:szCs w:val="22"/>
      <w:lang w:eastAsia="sl-SI"/>
    </w:rPr>
  </w:style>
  <w:style w:type="paragraph" w:customStyle="1" w:styleId="Neotevilenodstavek">
    <w:name w:val="Neoštevilčen odstavek"/>
    <w:basedOn w:val="Navaden"/>
    <w:link w:val="NeotevilenodstavekZnak"/>
    <w:qFormat/>
    <w:rsid w:val="000E138A"/>
    <w:pPr>
      <w:suppressAutoHyphens w:val="0"/>
      <w:overflowPunct w:val="0"/>
      <w:autoSpaceDE w:val="0"/>
      <w:autoSpaceDN w:val="0"/>
      <w:adjustRightInd w:val="0"/>
      <w:spacing w:before="60" w:after="60" w:line="200" w:lineRule="exact"/>
      <w:jc w:val="both"/>
      <w:textAlignment w:val="baseline"/>
    </w:pPr>
    <w:rPr>
      <w:rFonts w:ascii="Arial" w:hAnsi="Arial" w:cs="Arial"/>
      <w:sz w:val="22"/>
      <w:szCs w:val="22"/>
      <w:lang w:eastAsia="sl-SI"/>
    </w:rPr>
  </w:style>
  <w:style w:type="character" w:customStyle="1" w:styleId="NeotevilenodstavekZnak">
    <w:name w:val="Neoštevilčen odstavek Znak"/>
    <w:link w:val="Neotevilenodstavek"/>
    <w:rsid w:val="000E138A"/>
    <w:rPr>
      <w:rFonts w:ascii="Arial" w:hAnsi="Arial" w:cs="Arial"/>
      <w:sz w:val="22"/>
      <w:szCs w:val="22"/>
      <w:lang w:val="sl-SI" w:eastAsia="sl-SI" w:bidi="ar-SA"/>
    </w:rPr>
  </w:style>
  <w:style w:type="paragraph" w:customStyle="1" w:styleId="Oddelek">
    <w:name w:val="Oddelek"/>
    <w:basedOn w:val="Navaden"/>
    <w:link w:val="OddelekZnak1"/>
    <w:qFormat/>
    <w:rsid w:val="000E138A"/>
    <w:pPr>
      <w:numPr>
        <w:numId w:val="1"/>
      </w:numPr>
      <w:overflowPunct w:val="0"/>
      <w:autoSpaceDE w:val="0"/>
      <w:autoSpaceDN w:val="0"/>
      <w:adjustRightInd w:val="0"/>
      <w:spacing w:before="280" w:after="60" w:line="200" w:lineRule="exact"/>
      <w:jc w:val="center"/>
      <w:textAlignment w:val="baseline"/>
      <w:outlineLvl w:val="3"/>
    </w:pPr>
    <w:rPr>
      <w:rFonts w:ascii="Arial" w:hAnsi="Arial" w:cs="Arial"/>
      <w:b/>
      <w:sz w:val="22"/>
      <w:szCs w:val="22"/>
      <w:lang w:eastAsia="sl-SI"/>
    </w:rPr>
  </w:style>
  <w:style w:type="character" w:customStyle="1" w:styleId="OddelekZnak1">
    <w:name w:val="Oddelek Znak1"/>
    <w:link w:val="Oddelek"/>
    <w:rsid w:val="000E138A"/>
    <w:rPr>
      <w:rFonts w:ascii="Arial" w:hAnsi="Arial" w:cs="Arial"/>
      <w:b/>
      <w:sz w:val="22"/>
      <w:szCs w:val="22"/>
    </w:rPr>
  </w:style>
  <w:style w:type="paragraph" w:customStyle="1" w:styleId="Alineazatoko">
    <w:name w:val="Alinea za točko"/>
    <w:basedOn w:val="Navaden"/>
    <w:link w:val="AlineazatokoZnak"/>
    <w:qFormat/>
    <w:rsid w:val="000E138A"/>
    <w:pPr>
      <w:tabs>
        <w:tab w:val="num" w:pos="360"/>
      </w:tabs>
      <w:suppressAutoHyphens w:val="0"/>
      <w:overflowPunct w:val="0"/>
      <w:autoSpaceDE w:val="0"/>
      <w:autoSpaceDN w:val="0"/>
      <w:adjustRightInd w:val="0"/>
      <w:spacing w:line="200" w:lineRule="exact"/>
      <w:jc w:val="both"/>
      <w:textAlignment w:val="baseline"/>
    </w:pPr>
    <w:rPr>
      <w:rFonts w:ascii="Arial" w:hAnsi="Arial" w:cs="Arial"/>
      <w:sz w:val="22"/>
      <w:szCs w:val="22"/>
      <w:lang w:eastAsia="sl-SI"/>
    </w:rPr>
  </w:style>
  <w:style w:type="character" w:customStyle="1" w:styleId="AlineazatokoZnak">
    <w:name w:val="Alinea za točko Znak"/>
    <w:link w:val="Alineazatoko"/>
    <w:rsid w:val="000E138A"/>
    <w:rPr>
      <w:rFonts w:ascii="Arial" w:hAnsi="Arial" w:cs="Arial"/>
      <w:sz w:val="22"/>
      <w:szCs w:val="22"/>
      <w:lang w:val="sl-SI" w:eastAsia="sl-SI" w:bidi="ar-SA"/>
    </w:rPr>
  </w:style>
  <w:style w:type="character" w:customStyle="1" w:styleId="rkovnatokazaodstavkomZnak">
    <w:name w:val="Črkovna točka_za odstavkom Znak"/>
    <w:link w:val="rkovnatokazaodstavkom"/>
    <w:rsid w:val="000E138A"/>
    <w:rPr>
      <w:rFonts w:ascii="Arial" w:hAnsi="Arial"/>
    </w:rPr>
  </w:style>
  <w:style w:type="paragraph" w:customStyle="1" w:styleId="rkovnatokazaodstavkom">
    <w:name w:val="Črkovna točka_za odstavkom"/>
    <w:basedOn w:val="Navaden"/>
    <w:link w:val="rkovnatokazaodstavkomZnak"/>
    <w:qFormat/>
    <w:rsid w:val="000E138A"/>
    <w:pPr>
      <w:numPr>
        <w:numId w:val="2"/>
      </w:numPr>
      <w:suppressAutoHyphens w:val="0"/>
      <w:overflowPunct w:val="0"/>
      <w:autoSpaceDE w:val="0"/>
      <w:autoSpaceDN w:val="0"/>
      <w:adjustRightInd w:val="0"/>
      <w:spacing w:line="200" w:lineRule="exact"/>
      <w:jc w:val="both"/>
      <w:textAlignment w:val="baseline"/>
    </w:pPr>
    <w:rPr>
      <w:rFonts w:ascii="Arial" w:hAnsi="Arial"/>
      <w:sz w:val="20"/>
      <w:szCs w:val="20"/>
      <w:lang w:eastAsia="sl-SI"/>
    </w:rPr>
  </w:style>
  <w:style w:type="paragraph" w:customStyle="1" w:styleId="Alineazaodstavkom">
    <w:name w:val="Alinea za odstavkom"/>
    <w:basedOn w:val="Alineazatoko"/>
    <w:link w:val="AlineazaodstavkomZnak"/>
    <w:qFormat/>
    <w:rsid w:val="000E138A"/>
    <w:pPr>
      <w:ind w:left="709" w:hanging="284"/>
    </w:pPr>
  </w:style>
  <w:style w:type="character" w:customStyle="1" w:styleId="AlineazaodstavkomZnak">
    <w:name w:val="Alinea za odstavkom Znak"/>
    <w:link w:val="Alineazaodstavkom"/>
    <w:rsid w:val="000E138A"/>
    <w:rPr>
      <w:rFonts w:ascii="Arial" w:hAnsi="Arial" w:cs="Arial"/>
      <w:sz w:val="22"/>
      <w:szCs w:val="22"/>
      <w:lang w:val="sl-SI" w:eastAsia="sl-SI" w:bidi="ar-SA"/>
    </w:rPr>
  </w:style>
  <w:style w:type="paragraph" w:customStyle="1" w:styleId="Odsek">
    <w:name w:val="Odsek"/>
    <w:basedOn w:val="Oddelek"/>
    <w:link w:val="OdsekZnak"/>
    <w:qFormat/>
    <w:rsid w:val="000E138A"/>
  </w:style>
  <w:style w:type="character" w:customStyle="1" w:styleId="OdsekZnak">
    <w:name w:val="Odsek Znak"/>
    <w:basedOn w:val="OddelekZnak1"/>
    <w:link w:val="Odsek"/>
    <w:rsid w:val="000E138A"/>
    <w:rPr>
      <w:rFonts w:ascii="Arial" w:hAnsi="Arial" w:cs="Arial"/>
      <w:b/>
      <w:sz w:val="22"/>
      <w:szCs w:val="22"/>
    </w:rPr>
  </w:style>
  <w:style w:type="table" w:styleId="Tabelamrea">
    <w:name w:val="Table Grid"/>
    <w:basedOn w:val="Navadnatabela"/>
    <w:rsid w:val="000E138A"/>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Glava">
    <w:name w:val="header"/>
    <w:basedOn w:val="Navaden"/>
    <w:link w:val="GlavaZnak"/>
    <w:uiPriority w:val="99"/>
    <w:rsid w:val="000E138A"/>
    <w:pPr>
      <w:tabs>
        <w:tab w:val="center" w:pos="4320"/>
        <w:tab w:val="right" w:pos="8640"/>
      </w:tabs>
      <w:suppressAutoHyphens w:val="0"/>
      <w:spacing w:line="260" w:lineRule="atLeast"/>
    </w:pPr>
    <w:rPr>
      <w:rFonts w:ascii="Arial" w:hAnsi="Arial"/>
      <w:sz w:val="20"/>
      <w:lang w:val="en-US" w:eastAsia="en-US"/>
    </w:rPr>
  </w:style>
  <w:style w:type="paragraph" w:styleId="Besedilooblaka">
    <w:name w:val="Balloon Text"/>
    <w:basedOn w:val="Navaden"/>
    <w:link w:val="BesedilooblakaZnak"/>
    <w:rsid w:val="00DC3F9B"/>
    <w:rPr>
      <w:rFonts w:ascii="Tahoma" w:hAnsi="Tahoma" w:cs="Tahoma"/>
      <w:sz w:val="16"/>
      <w:szCs w:val="16"/>
    </w:rPr>
  </w:style>
  <w:style w:type="character" w:customStyle="1" w:styleId="NogaZnak">
    <w:name w:val="Noga Znak"/>
    <w:link w:val="Noga"/>
    <w:uiPriority w:val="99"/>
    <w:rsid w:val="008A57C5"/>
    <w:rPr>
      <w:sz w:val="24"/>
      <w:szCs w:val="24"/>
      <w:lang w:eastAsia="ar-SA"/>
    </w:rPr>
  </w:style>
  <w:style w:type="paragraph" w:styleId="Odstavekseznama">
    <w:name w:val="List Paragraph"/>
    <w:basedOn w:val="Navaden"/>
    <w:uiPriority w:val="34"/>
    <w:qFormat/>
    <w:rsid w:val="00ED5CC7"/>
    <w:pPr>
      <w:ind w:left="720"/>
      <w:contextualSpacing/>
    </w:pPr>
  </w:style>
  <w:style w:type="character" w:customStyle="1" w:styleId="Naslov4Znak">
    <w:name w:val="Naslov 4 Znak"/>
    <w:basedOn w:val="Privzetapisavaodstavka"/>
    <w:link w:val="Naslov4"/>
    <w:rsid w:val="00B1296C"/>
    <w:rPr>
      <w:rFonts w:asciiTheme="majorHAnsi" w:eastAsiaTheme="majorEastAsia" w:hAnsiTheme="majorHAnsi" w:cstheme="majorBidi"/>
      <w:b/>
      <w:bCs/>
      <w:i/>
      <w:iCs/>
      <w:color w:val="5B9BD5" w:themeColor="accent1"/>
      <w:sz w:val="24"/>
      <w:szCs w:val="24"/>
      <w:lang w:eastAsia="ar-SA"/>
    </w:rPr>
  </w:style>
  <w:style w:type="character" w:styleId="Besediloograde">
    <w:name w:val="Placeholder Text"/>
    <w:basedOn w:val="Privzetapisavaodstavka"/>
    <w:uiPriority w:val="99"/>
    <w:semiHidden/>
    <w:rsid w:val="00F40F30"/>
    <w:rPr>
      <w:color w:val="808080"/>
    </w:rPr>
  </w:style>
  <w:style w:type="character" w:customStyle="1" w:styleId="Naslov2Znak">
    <w:name w:val="Naslov 2 Znak"/>
    <w:basedOn w:val="Privzetapisavaodstavka"/>
    <w:link w:val="Naslov2"/>
    <w:rsid w:val="001B0A14"/>
    <w:rPr>
      <w:rFonts w:ascii="Arial" w:hAnsi="Arial" w:cs="Arial"/>
      <w:b/>
      <w:lang w:eastAsia="ar-SA"/>
    </w:rPr>
  </w:style>
  <w:style w:type="character" w:customStyle="1" w:styleId="Naslov3Znak">
    <w:name w:val="Naslov 3 Znak"/>
    <w:basedOn w:val="Privzetapisavaodstavka"/>
    <w:link w:val="Naslov3"/>
    <w:rsid w:val="00C448AE"/>
    <w:rPr>
      <w:rFonts w:ascii="Arial" w:hAnsi="Arial" w:cs="Arial"/>
      <w:b/>
    </w:rPr>
  </w:style>
  <w:style w:type="character" w:customStyle="1" w:styleId="Naslov5Znak">
    <w:name w:val="Naslov 5 Znak"/>
    <w:basedOn w:val="Privzetapisavaodstavka"/>
    <w:link w:val="Naslov5"/>
    <w:rsid w:val="00D91D1F"/>
    <w:rPr>
      <w:rFonts w:ascii="Calibri" w:hAnsi="Calibri"/>
      <w:b/>
      <w:bCs/>
      <w:i/>
      <w:iCs/>
      <w:sz w:val="26"/>
      <w:szCs w:val="26"/>
      <w:lang w:eastAsia="ar-SA"/>
    </w:rPr>
  </w:style>
  <w:style w:type="character" w:customStyle="1" w:styleId="Naslov6Znak">
    <w:name w:val="Naslov 6 Znak"/>
    <w:basedOn w:val="Privzetapisavaodstavka"/>
    <w:link w:val="Naslov6"/>
    <w:rsid w:val="00D91D1F"/>
    <w:rPr>
      <w:rFonts w:ascii="Calibri" w:hAnsi="Calibri"/>
      <w:b/>
      <w:bCs/>
      <w:sz w:val="22"/>
      <w:szCs w:val="22"/>
      <w:lang w:eastAsia="ar-SA"/>
    </w:rPr>
  </w:style>
  <w:style w:type="character" w:customStyle="1" w:styleId="Naslov7Znak">
    <w:name w:val="Naslov 7 Znak"/>
    <w:basedOn w:val="Privzetapisavaodstavka"/>
    <w:link w:val="Naslov7"/>
    <w:rsid w:val="00D91D1F"/>
    <w:rPr>
      <w:rFonts w:ascii="Calibri" w:hAnsi="Calibri"/>
      <w:sz w:val="22"/>
      <w:szCs w:val="24"/>
      <w:lang w:eastAsia="ar-SA"/>
    </w:rPr>
  </w:style>
  <w:style w:type="character" w:customStyle="1" w:styleId="Naslov8Znak">
    <w:name w:val="Naslov 8 Znak"/>
    <w:basedOn w:val="Privzetapisavaodstavka"/>
    <w:link w:val="Naslov8"/>
    <w:rsid w:val="00D91D1F"/>
    <w:rPr>
      <w:rFonts w:ascii="Calibri" w:hAnsi="Calibri"/>
      <w:i/>
      <w:iCs/>
      <w:sz w:val="22"/>
      <w:szCs w:val="24"/>
      <w:lang w:eastAsia="ar-SA"/>
    </w:rPr>
  </w:style>
  <w:style w:type="character" w:customStyle="1" w:styleId="Naslov9Znak">
    <w:name w:val="Naslov 9 Znak"/>
    <w:basedOn w:val="Privzetapisavaodstavka"/>
    <w:link w:val="Naslov9"/>
    <w:rsid w:val="00D91D1F"/>
    <w:rPr>
      <w:rFonts w:ascii="Cambria" w:hAnsi="Cambria"/>
      <w:sz w:val="22"/>
      <w:szCs w:val="22"/>
      <w:lang w:eastAsia="ar-SA"/>
    </w:rPr>
  </w:style>
  <w:style w:type="character" w:customStyle="1" w:styleId="BesedilooblakaZnak">
    <w:name w:val="Besedilo oblačka Znak"/>
    <w:basedOn w:val="Privzetapisavaodstavka"/>
    <w:link w:val="Besedilooblaka"/>
    <w:rsid w:val="00D91D1F"/>
    <w:rPr>
      <w:rFonts w:ascii="Tahoma" w:hAnsi="Tahoma" w:cs="Tahoma"/>
      <w:sz w:val="16"/>
      <w:szCs w:val="16"/>
      <w:lang w:eastAsia="ar-SA"/>
    </w:rPr>
  </w:style>
  <w:style w:type="character" w:styleId="Pripombasklic">
    <w:name w:val="annotation reference"/>
    <w:rsid w:val="00D91D1F"/>
    <w:rPr>
      <w:sz w:val="16"/>
      <w:szCs w:val="16"/>
    </w:rPr>
  </w:style>
  <w:style w:type="paragraph" w:styleId="Pripombabesedilo">
    <w:name w:val="annotation text"/>
    <w:basedOn w:val="Navaden"/>
    <w:link w:val="PripombabesediloZnak"/>
    <w:rsid w:val="00D91D1F"/>
    <w:rPr>
      <w:rFonts w:ascii="Tahoma" w:hAnsi="Tahoma"/>
      <w:sz w:val="20"/>
      <w:szCs w:val="20"/>
    </w:rPr>
  </w:style>
  <w:style w:type="character" w:customStyle="1" w:styleId="PripombabesediloZnak">
    <w:name w:val="Pripomba – besedilo Znak"/>
    <w:basedOn w:val="Privzetapisavaodstavka"/>
    <w:link w:val="Pripombabesedilo"/>
    <w:rsid w:val="00D91D1F"/>
    <w:rPr>
      <w:rFonts w:ascii="Tahoma" w:hAnsi="Tahoma"/>
      <w:lang w:eastAsia="ar-SA"/>
    </w:rPr>
  </w:style>
  <w:style w:type="paragraph" w:styleId="Zadevapripombe">
    <w:name w:val="annotation subject"/>
    <w:basedOn w:val="Pripombabesedilo"/>
    <w:next w:val="Pripombabesedilo"/>
    <w:link w:val="ZadevapripombeZnak"/>
    <w:rsid w:val="00D91D1F"/>
    <w:rPr>
      <w:b/>
      <w:bCs/>
    </w:rPr>
  </w:style>
  <w:style w:type="character" w:customStyle="1" w:styleId="ZadevapripombeZnak">
    <w:name w:val="Zadeva pripombe Znak"/>
    <w:basedOn w:val="PripombabesediloZnak"/>
    <w:link w:val="Zadevapripombe"/>
    <w:rsid w:val="00D91D1F"/>
    <w:rPr>
      <w:rFonts w:ascii="Tahoma" w:hAnsi="Tahoma"/>
      <w:b/>
      <w:bCs/>
      <w:lang w:eastAsia="ar-SA"/>
    </w:rPr>
  </w:style>
  <w:style w:type="paragraph" w:styleId="Revizija">
    <w:name w:val="Revision"/>
    <w:hidden/>
    <w:uiPriority w:val="99"/>
    <w:semiHidden/>
    <w:rsid w:val="00D91D1F"/>
    <w:rPr>
      <w:sz w:val="24"/>
      <w:szCs w:val="24"/>
      <w:lang w:eastAsia="ar-SA"/>
    </w:rPr>
  </w:style>
  <w:style w:type="character" w:customStyle="1" w:styleId="GlavaZnak">
    <w:name w:val="Glava Znak"/>
    <w:basedOn w:val="Privzetapisavaodstavka"/>
    <w:link w:val="Glava"/>
    <w:uiPriority w:val="99"/>
    <w:rsid w:val="00D91D1F"/>
    <w:rPr>
      <w:rFonts w:ascii="Arial" w:hAnsi="Arial"/>
      <w:szCs w:val="24"/>
      <w:lang w:val="en-US" w:eastAsia="en-US"/>
    </w:rPr>
  </w:style>
  <w:style w:type="paragraph" w:styleId="NaslovTOC">
    <w:name w:val="TOC Heading"/>
    <w:basedOn w:val="Naslov1"/>
    <w:next w:val="Navaden"/>
    <w:uiPriority w:val="39"/>
    <w:qFormat/>
    <w:rsid w:val="00D91D1F"/>
    <w:pPr>
      <w:keepLines/>
      <w:overflowPunct/>
      <w:autoSpaceDE/>
      <w:autoSpaceDN/>
      <w:adjustRightInd/>
      <w:spacing w:before="480" w:after="0" w:line="276" w:lineRule="auto"/>
      <w:ind w:left="432" w:hanging="432"/>
      <w:jc w:val="left"/>
      <w:textAlignment w:val="auto"/>
      <w:outlineLvl w:val="9"/>
    </w:pPr>
    <w:rPr>
      <w:rFonts w:ascii="Tahoma" w:hAnsi="Tahoma" w:cs="Times New Roman"/>
      <w:caps/>
      <w:color w:val="365F91"/>
      <w:kern w:val="0"/>
      <w:sz w:val="28"/>
      <w:szCs w:val="28"/>
      <w:lang w:eastAsia="sl-SI"/>
    </w:rPr>
  </w:style>
  <w:style w:type="paragraph" w:styleId="Naslov">
    <w:name w:val="Title"/>
    <w:basedOn w:val="Naslov1"/>
    <w:next w:val="Navaden"/>
    <w:link w:val="NaslovZnak"/>
    <w:qFormat/>
    <w:rsid w:val="0063511F"/>
    <w:pPr>
      <w:suppressAutoHyphens/>
      <w:overflowPunct/>
      <w:autoSpaceDE/>
      <w:autoSpaceDN/>
      <w:adjustRightInd/>
      <w:ind w:left="567" w:hanging="567"/>
      <w:textAlignment w:val="auto"/>
    </w:pPr>
  </w:style>
  <w:style w:type="character" w:customStyle="1" w:styleId="NaslovZnak">
    <w:name w:val="Naslov Znak"/>
    <w:basedOn w:val="Privzetapisavaodstavka"/>
    <w:link w:val="Naslov"/>
    <w:rsid w:val="0063511F"/>
    <w:rPr>
      <w:rFonts w:ascii="Arial" w:hAnsi="Arial" w:cs="Arial"/>
      <w:b/>
      <w:bCs/>
      <w:kern w:val="32"/>
      <w:sz w:val="32"/>
      <w:szCs w:val="32"/>
      <w:lang w:eastAsia="en-US"/>
    </w:rPr>
  </w:style>
  <w:style w:type="paragraph" w:styleId="Kazalovsebine1">
    <w:name w:val="toc 1"/>
    <w:basedOn w:val="Navaden"/>
    <w:next w:val="Navaden"/>
    <w:autoRedefine/>
    <w:uiPriority w:val="39"/>
    <w:qFormat/>
    <w:rsid w:val="00AF4071"/>
    <w:pPr>
      <w:tabs>
        <w:tab w:val="left" w:pos="426"/>
        <w:tab w:val="right" w:leader="dot" w:pos="9062"/>
      </w:tabs>
      <w:ind w:left="425" w:hanging="425"/>
    </w:pPr>
    <w:rPr>
      <w:rFonts w:ascii="Tahoma" w:hAnsi="Tahoma"/>
      <w:sz w:val="22"/>
    </w:rPr>
  </w:style>
  <w:style w:type="paragraph" w:styleId="Kazalovsebine2">
    <w:name w:val="toc 2"/>
    <w:basedOn w:val="Navaden"/>
    <w:next w:val="Navaden"/>
    <w:autoRedefine/>
    <w:uiPriority w:val="39"/>
    <w:qFormat/>
    <w:rsid w:val="00D91D1F"/>
    <w:pPr>
      <w:ind w:left="240"/>
    </w:pPr>
    <w:rPr>
      <w:rFonts w:ascii="Tahoma" w:hAnsi="Tahoma"/>
      <w:sz w:val="22"/>
    </w:rPr>
  </w:style>
  <w:style w:type="paragraph" w:styleId="Napis">
    <w:name w:val="caption"/>
    <w:basedOn w:val="Navaden"/>
    <w:next w:val="Navaden"/>
    <w:qFormat/>
    <w:rsid w:val="00D91D1F"/>
    <w:rPr>
      <w:rFonts w:ascii="Tahoma" w:hAnsi="Tahoma"/>
      <w:b/>
      <w:bCs/>
      <w:sz w:val="20"/>
      <w:szCs w:val="20"/>
    </w:rPr>
  </w:style>
  <w:style w:type="character" w:customStyle="1" w:styleId="apple-converted-space">
    <w:name w:val="apple-converted-space"/>
    <w:rsid w:val="00D91D1F"/>
  </w:style>
  <w:style w:type="paragraph" w:customStyle="1" w:styleId="esegmenth4">
    <w:name w:val="esegment_h4"/>
    <w:basedOn w:val="Navaden"/>
    <w:rsid w:val="00D91D1F"/>
    <w:pPr>
      <w:suppressAutoHyphens w:val="0"/>
      <w:spacing w:before="100" w:beforeAutospacing="1" w:after="100" w:afterAutospacing="1"/>
    </w:pPr>
    <w:rPr>
      <w:lang w:val="en-GB" w:eastAsia="en-GB"/>
    </w:rPr>
  </w:style>
  <w:style w:type="paragraph" w:styleId="Navadensplet">
    <w:name w:val="Normal (Web)"/>
    <w:basedOn w:val="Navaden"/>
    <w:uiPriority w:val="99"/>
    <w:unhideWhenUsed/>
    <w:rsid w:val="00D91D1F"/>
    <w:pPr>
      <w:suppressAutoHyphens w:val="0"/>
      <w:spacing w:before="100" w:beforeAutospacing="1" w:after="100" w:afterAutospacing="1"/>
    </w:pPr>
    <w:rPr>
      <w:lang w:val="en-GB" w:eastAsia="en-GB"/>
    </w:rPr>
  </w:style>
  <w:style w:type="paragraph" w:customStyle="1" w:styleId="Odstavek">
    <w:name w:val="Odstavek"/>
    <w:basedOn w:val="Navaden"/>
    <w:link w:val="OdstavekZnak"/>
    <w:qFormat/>
    <w:rsid w:val="00D91D1F"/>
    <w:pPr>
      <w:suppressAutoHyphens w:val="0"/>
      <w:overflowPunct w:val="0"/>
      <w:autoSpaceDE w:val="0"/>
      <w:autoSpaceDN w:val="0"/>
      <w:adjustRightInd w:val="0"/>
      <w:spacing w:before="240"/>
      <w:ind w:firstLine="1021"/>
      <w:jc w:val="both"/>
      <w:textAlignment w:val="baseline"/>
    </w:pPr>
    <w:rPr>
      <w:rFonts w:ascii="Arial" w:hAnsi="Arial" w:cs="Arial"/>
      <w:sz w:val="22"/>
      <w:szCs w:val="22"/>
      <w:lang w:eastAsia="sl-SI"/>
    </w:rPr>
  </w:style>
  <w:style w:type="character" w:customStyle="1" w:styleId="OdstavekZnak">
    <w:name w:val="Odstavek Znak"/>
    <w:link w:val="Odstavek"/>
    <w:rsid w:val="00D91D1F"/>
    <w:rPr>
      <w:rFonts w:ascii="Arial" w:hAnsi="Arial" w:cs="Arial"/>
      <w:sz w:val="22"/>
      <w:szCs w:val="22"/>
    </w:rPr>
  </w:style>
  <w:style w:type="character" w:styleId="Neensklic">
    <w:name w:val="Subtle Reference"/>
    <w:uiPriority w:val="31"/>
    <w:qFormat/>
    <w:rsid w:val="00D91D1F"/>
    <w:rPr>
      <w:smallCaps/>
      <w:color w:val="C0504D"/>
      <w:u w:val="single"/>
    </w:rPr>
  </w:style>
  <w:style w:type="paragraph" w:styleId="Sprotnaopomba-besedilo">
    <w:name w:val="footnote text"/>
    <w:basedOn w:val="Navaden"/>
    <w:link w:val="Sprotnaopomba-besediloZnak"/>
    <w:rsid w:val="00D91D1F"/>
    <w:rPr>
      <w:rFonts w:ascii="Tahoma" w:hAnsi="Tahoma"/>
      <w:sz w:val="20"/>
      <w:szCs w:val="20"/>
    </w:rPr>
  </w:style>
  <w:style w:type="character" w:customStyle="1" w:styleId="Sprotnaopomba-besediloZnak">
    <w:name w:val="Sprotna opomba - besedilo Znak"/>
    <w:basedOn w:val="Privzetapisavaodstavka"/>
    <w:link w:val="Sprotnaopomba-besedilo"/>
    <w:rsid w:val="00D91D1F"/>
    <w:rPr>
      <w:rFonts w:ascii="Tahoma" w:hAnsi="Tahoma"/>
      <w:lang w:eastAsia="ar-SA"/>
    </w:rPr>
  </w:style>
  <w:style w:type="character" w:styleId="Sprotnaopomba-sklic">
    <w:name w:val="footnote reference"/>
    <w:rsid w:val="00D91D1F"/>
    <w:rPr>
      <w:vertAlign w:val="superscript"/>
    </w:rPr>
  </w:style>
  <w:style w:type="character" w:styleId="Naslovknjige">
    <w:name w:val="Book Title"/>
    <w:basedOn w:val="Privzetapisavaodstavka"/>
    <w:uiPriority w:val="33"/>
    <w:qFormat/>
    <w:rsid w:val="00EA76A8"/>
    <w:rPr>
      <w:b/>
      <w:bCs/>
      <w:smallCaps/>
      <w:spacing w:val="5"/>
    </w:rPr>
  </w:style>
  <w:style w:type="paragraph" w:customStyle="1" w:styleId="PoglavjeNP">
    <w:name w:val="PoglavjeNP"/>
    <w:basedOn w:val="Naslov1"/>
    <w:link w:val="PoglavjeNPZnak"/>
    <w:autoRedefine/>
    <w:qFormat/>
    <w:rsid w:val="008661AD"/>
    <w:pPr>
      <w:numPr>
        <w:numId w:val="20"/>
      </w:numPr>
      <w:suppressAutoHyphens/>
      <w:overflowPunct/>
      <w:autoSpaceDE/>
      <w:autoSpaceDN/>
      <w:adjustRightInd/>
      <w:textAlignment w:val="auto"/>
    </w:pPr>
  </w:style>
  <w:style w:type="paragraph" w:customStyle="1" w:styleId="podpoglavjeNP">
    <w:name w:val="podpoglavjeNP"/>
    <w:basedOn w:val="Navaden"/>
    <w:link w:val="podpoglavjeNPZnak"/>
    <w:qFormat/>
    <w:rsid w:val="00CA75C0"/>
    <w:pPr>
      <w:jc w:val="both"/>
    </w:pPr>
    <w:rPr>
      <w:rFonts w:ascii="Arial" w:hAnsi="Arial" w:cs="Arial"/>
      <w:b/>
      <w:sz w:val="20"/>
      <w:szCs w:val="20"/>
    </w:rPr>
  </w:style>
  <w:style w:type="character" w:customStyle="1" w:styleId="PoglavjeNPZnak">
    <w:name w:val="PoglavjeNP Znak"/>
    <w:basedOn w:val="Naslov1Znak"/>
    <w:link w:val="PoglavjeNP"/>
    <w:rsid w:val="008661AD"/>
    <w:rPr>
      <w:rFonts w:ascii="Arial" w:hAnsi="Arial" w:cs="Arial"/>
      <w:b/>
      <w:bCs/>
      <w:kern w:val="32"/>
      <w:sz w:val="32"/>
      <w:szCs w:val="32"/>
      <w:lang w:val="sl-SI" w:eastAsia="en-US" w:bidi="ar-SA"/>
    </w:rPr>
  </w:style>
  <w:style w:type="character" w:customStyle="1" w:styleId="podpoglavjeNPZnak">
    <w:name w:val="podpoglavjeNP Znak"/>
    <w:basedOn w:val="Privzetapisavaodstavka"/>
    <w:link w:val="podpoglavjeNP"/>
    <w:rsid w:val="00CA75C0"/>
    <w:rPr>
      <w:rFonts w:ascii="Arial" w:hAnsi="Arial" w:cs="Arial"/>
      <w:b/>
      <w:lang w:eastAsia="ar-SA"/>
    </w:rPr>
  </w:style>
  <w:style w:type="paragraph" w:styleId="Kazalovsebine3">
    <w:name w:val="toc 3"/>
    <w:basedOn w:val="Navaden"/>
    <w:next w:val="Navaden"/>
    <w:autoRedefine/>
    <w:uiPriority w:val="39"/>
    <w:unhideWhenUsed/>
    <w:qFormat/>
    <w:rsid w:val="005778A2"/>
    <w:pPr>
      <w:suppressAutoHyphens w:val="0"/>
      <w:spacing w:after="100" w:line="276" w:lineRule="auto"/>
      <w:ind w:left="440"/>
    </w:pPr>
    <w:rPr>
      <w:rFonts w:asciiTheme="minorHAnsi" w:eastAsiaTheme="minorEastAsia" w:hAnsiTheme="minorHAnsi" w:cstheme="minorBidi"/>
      <w:sz w:val="22"/>
      <w:szCs w:val="22"/>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iPriority="39" w:qFormat="1"/>
    <w:lsdException w:name="toc 3" w:uiPriority="39" w:qFormat="1"/>
    <w:lsdException w:name="header" w:uiPriority="9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AF505A"/>
    <w:pPr>
      <w:suppressAutoHyphens/>
    </w:pPr>
    <w:rPr>
      <w:sz w:val="24"/>
      <w:szCs w:val="24"/>
      <w:lang w:eastAsia="ar-SA"/>
    </w:rPr>
  </w:style>
  <w:style w:type="paragraph" w:styleId="Naslov1">
    <w:name w:val="heading 1"/>
    <w:aliases w:val="Heading 1 Char,Heading 1 Char1 Char1,Heading 1 Char Char Char1,Heading 1 Char1 Char1 Char Char,Heading 1 Char Char Char1 Char Char,Heading 1 Char Char1,Heading 1 Char1 Char1 Char1,Heading 1 Char Char Char1 Char1,Poglavje1,Heading 1si"/>
    <w:basedOn w:val="Navaden"/>
    <w:next w:val="Navaden"/>
    <w:link w:val="Naslov1Znak"/>
    <w:uiPriority w:val="9"/>
    <w:qFormat/>
    <w:rsid w:val="000E138A"/>
    <w:pPr>
      <w:keepNext/>
      <w:suppressAutoHyphens w:val="0"/>
      <w:overflowPunct w:val="0"/>
      <w:autoSpaceDE w:val="0"/>
      <w:autoSpaceDN w:val="0"/>
      <w:adjustRightInd w:val="0"/>
      <w:spacing w:before="240" w:after="60"/>
      <w:jc w:val="both"/>
      <w:textAlignment w:val="baseline"/>
      <w:outlineLvl w:val="0"/>
    </w:pPr>
    <w:rPr>
      <w:rFonts w:ascii="Arial" w:hAnsi="Arial" w:cs="Arial"/>
      <w:b/>
      <w:bCs/>
      <w:kern w:val="32"/>
      <w:sz w:val="32"/>
      <w:szCs w:val="32"/>
      <w:lang w:eastAsia="en-US"/>
    </w:rPr>
  </w:style>
  <w:style w:type="paragraph" w:styleId="Naslov2">
    <w:name w:val="heading 2"/>
    <w:basedOn w:val="podpoglavjeNP"/>
    <w:next w:val="Navaden"/>
    <w:link w:val="Naslov2Znak"/>
    <w:qFormat/>
    <w:rsid w:val="001B0A14"/>
    <w:pPr>
      <w:outlineLvl w:val="1"/>
    </w:pPr>
  </w:style>
  <w:style w:type="paragraph" w:styleId="Naslov3">
    <w:name w:val="heading 3"/>
    <w:basedOn w:val="Oddelek"/>
    <w:next w:val="Navaden"/>
    <w:link w:val="Naslov3Znak"/>
    <w:qFormat/>
    <w:rsid w:val="00C448AE"/>
    <w:pPr>
      <w:numPr>
        <w:numId w:val="0"/>
      </w:numPr>
      <w:suppressAutoHyphens w:val="0"/>
      <w:spacing w:before="0" w:after="0" w:line="240" w:lineRule="auto"/>
      <w:jc w:val="both"/>
      <w:outlineLvl w:val="2"/>
    </w:pPr>
    <w:rPr>
      <w:sz w:val="20"/>
      <w:szCs w:val="20"/>
    </w:rPr>
  </w:style>
  <w:style w:type="paragraph" w:styleId="Naslov4">
    <w:name w:val="heading 4"/>
    <w:basedOn w:val="Navaden"/>
    <w:next w:val="Navaden"/>
    <w:link w:val="Naslov4Znak"/>
    <w:unhideWhenUsed/>
    <w:qFormat/>
    <w:rsid w:val="00B1296C"/>
    <w:pPr>
      <w:keepNext/>
      <w:keepLines/>
      <w:spacing w:before="200"/>
      <w:outlineLvl w:val="3"/>
    </w:pPr>
    <w:rPr>
      <w:rFonts w:asciiTheme="majorHAnsi" w:eastAsiaTheme="majorEastAsia" w:hAnsiTheme="majorHAnsi" w:cstheme="majorBidi"/>
      <w:b/>
      <w:bCs/>
      <w:i/>
      <w:iCs/>
      <w:color w:val="5B9BD5" w:themeColor="accent1"/>
    </w:rPr>
  </w:style>
  <w:style w:type="paragraph" w:styleId="Naslov5">
    <w:name w:val="heading 5"/>
    <w:basedOn w:val="Navaden"/>
    <w:next w:val="Navaden"/>
    <w:link w:val="Naslov5Znak"/>
    <w:qFormat/>
    <w:rsid w:val="00D91D1F"/>
    <w:pPr>
      <w:spacing w:before="240" w:after="60"/>
      <w:ind w:left="1008" w:hanging="1008"/>
      <w:outlineLvl w:val="4"/>
    </w:pPr>
    <w:rPr>
      <w:rFonts w:ascii="Calibri" w:hAnsi="Calibri"/>
      <w:b/>
      <w:bCs/>
      <w:i/>
      <w:iCs/>
      <w:sz w:val="26"/>
      <w:szCs w:val="26"/>
    </w:rPr>
  </w:style>
  <w:style w:type="paragraph" w:styleId="Naslov6">
    <w:name w:val="heading 6"/>
    <w:basedOn w:val="Navaden"/>
    <w:next w:val="Navaden"/>
    <w:link w:val="Naslov6Znak"/>
    <w:qFormat/>
    <w:rsid w:val="00D91D1F"/>
    <w:pPr>
      <w:spacing w:before="240" w:after="60"/>
      <w:ind w:left="1152" w:hanging="1152"/>
      <w:outlineLvl w:val="5"/>
    </w:pPr>
    <w:rPr>
      <w:rFonts w:ascii="Calibri" w:hAnsi="Calibri"/>
      <w:b/>
      <w:bCs/>
      <w:sz w:val="22"/>
      <w:szCs w:val="22"/>
    </w:rPr>
  </w:style>
  <w:style w:type="paragraph" w:styleId="Naslov7">
    <w:name w:val="heading 7"/>
    <w:basedOn w:val="Navaden"/>
    <w:next w:val="Navaden"/>
    <w:link w:val="Naslov7Znak"/>
    <w:qFormat/>
    <w:rsid w:val="00D91D1F"/>
    <w:pPr>
      <w:spacing w:before="240" w:after="60"/>
      <w:ind w:left="1296" w:hanging="1296"/>
      <w:outlineLvl w:val="6"/>
    </w:pPr>
    <w:rPr>
      <w:rFonts w:ascii="Calibri" w:hAnsi="Calibri"/>
      <w:sz w:val="22"/>
    </w:rPr>
  </w:style>
  <w:style w:type="paragraph" w:styleId="Naslov8">
    <w:name w:val="heading 8"/>
    <w:basedOn w:val="Navaden"/>
    <w:next w:val="Navaden"/>
    <w:link w:val="Naslov8Znak"/>
    <w:qFormat/>
    <w:rsid w:val="00D91D1F"/>
    <w:pPr>
      <w:spacing w:before="240" w:after="60"/>
      <w:ind w:left="1440" w:hanging="1440"/>
      <w:outlineLvl w:val="7"/>
    </w:pPr>
    <w:rPr>
      <w:rFonts w:ascii="Calibri" w:hAnsi="Calibri"/>
      <w:i/>
      <w:iCs/>
      <w:sz w:val="22"/>
    </w:rPr>
  </w:style>
  <w:style w:type="paragraph" w:styleId="Naslov9">
    <w:name w:val="heading 9"/>
    <w:basedOn w:val="Navaden"/>
    <w:next w:val="Navaden"/>
    <w:link w:val="Naslov9Znak"/>
    <w:qFormat/>
    <w:rsid w:val="00D91D1F"/>
    <w:pPr>
      <w:spacing w:before="240" w:after="60"/>
      <w:ind w:left="1584" w:hanging="1584"/>
      <w:outlineLvl w:val="8"/>
    </w:pPr>
    <w:rPr>
      <w:rFonts w:ascii="Cambria" w:hAnsi="Cambria"/>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uiPriority w:val="99"/>
    <w:rsid w:val="000E138A"/>
    <w:rPr>
      <w:color w:val="000080"/>
      <w:u w:val="single"/>
    </w:rPr>
  </w:style>
  <w:style w:type="paragraph" w:styleId="Noga">
    <w:name w:val="footer"/>
    <w:basedOn w:val="Navaden"/>
    <w:link w:val="NogaZnak"/>
    <w:uiPriority w:val="99"/>
    <w:rsid w:val="000E138A"/>
    <w:pPr>
      <w:tabs>
        <w:tab w:val="center" w:pos="4536"/>
        <w:tab w:val="right" w:pos="9072"/>
      </w:tabs>
    </w:pPr>
  </w:style>
  <w:style w:type="character" w:customStyle="1" w:styleId="Naslov1Znak">
    <w:name w:val="Naslov 1 Znak"/>
    <w:aliases w:val="Heading 1 Char Znak,Heading 1 Char1 Char1 Znak,Heading 1 Char Char Char1 Znak,Heading 1 Char1 Char1 Char Char Znak,Heading 1 Char Char Char1 Char Char Znak,Heading 1 Char Char1 Znak,Heading 1 Char1 Char1 Char1 Znak,Poglavje1 Znak"/>
    <w:link w:val="Naslov1"/>
    <w:uiPriority w:val="9"/>
    <w:rsid w:val="000E138A"/>
    <w:rPr>
      <w:rFonts w:ascii="Arial" w:hAnsi="Arial" w:cs="Arial"/>
      <w:b/>
      <w:bCs/>
      <w:kern w:val="32"/>
      <w:sz w:val="32"/>
      <w:szCs w:val="32"/>
      <w:lang w:val="sl-SI" w:eastAsia="en-US" w:bidi="ar-SA"/>
    </w:rPr>
  </w:style>
  <w:style w:type="paragraph" w:customStyle="1" w:styleId="Odstavekseznama1">
    <w:name w:val="Odstavek seznama1"/>
    <w:basedOn w:val="Navaden"/>
    <w:qFormat/>
    <w:rsid w:val="000E138A"/>
    <w:pPr>
      <w:suppressAutoHyphens w:val="0"/>
      <w:ind w:left="720"/>
      <w:contextualSpacing/>
    </w:pPr>
    <w:rPr>
      <w:lang w:eastAsia="sl-SI"/>
    </w:rPr>
  </w:style>
  <w:style w:type="paragraph" w:customStyle="1" w:styleId="Vrstapredpisa">
    <w:name w:val="Vrsta predpisa"/>
    <w:basedOn w:val="Navaden"/>
    <w:link w:val="VrstapredpisaZnak"/>
    <w:qFormat/>
    <w:rsid w:val="000E138A"/>
    <w:pPr>
      <w:overflowPunct w:val="0"/>
      <w:autoSpaceDE w:val="0"/>
      <w:autoSpaceDN w:val="0"/>
      <w:adjustRightInd w:val="0"/>
      <w:spacing w:before="360" w:line="220" w:lineRule="exact"/>
      <w:jc w:val="center"/>
      <w:textAlignment w:val="baseline"/>
    </w:pPr>
    <w:rPr>
      <w:rFonts w:ascii="Arial" w:hAnsi="Arial" w:cs="Arial"/>
      <w:b/>
      <w:bCs/>
      <w:color w:val="000000"/>
      <w:spacing w:val="40"/>
      <w:sz w:val="22"/>
      <w:szCs w:val="22"/>
      <w:lang w:eastAsia="sl-SI"/>
    </w:rPr>
  </w:style>
  <w:style w:type="character" w:customStyle="1" w:styleId="VrstapredpisaZnak">
    <w:name w:val="Vrsta predpisa Znak"/>
    <w:link w:val="Vrstapredpisa"/>
    <w:rsid w:val="000E138A"/>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0E138A"/>
    <w:pPr>
      <w:overflowPunct w:val="0"/>
      <w:autoSpaceDE w:val="0"/>
      <w:autoSpaceDN w:val="0"/>
      <w:adjustRightInd w:val="0"/>
      <w:spacing w:before="120" w:after="160" w:line="200" w:lineRule="exact"/>
      <w:jc w:val="center"/>
      <w:textAlignment w:val="baseline"/>
    </w:pPr>
    <w:rPr>
      <w:rFonts w:ascii="Arial" w:hAnsi="Arial" w:cs="Arial"/>
      <w:b/>
      <w:sz w:val="22"/>
      <w:szCs w:val="22"/>
      <w:lang w:eastAsia="sl-SI"/>
    </w:rPr>
  </w:style>
  <w:style w:type="character" w:customStyle="1" w:styleId="NaslovpredpisaZnak">
    <w:name w:val="Naslov_predpisa Znak"/>
    <w:link w:val="Naslovpredpisa"/>
    <w:rsid w:val="000E138A"/>
    <w:rPr>
      <w:rFonts w:ascii="Arial" w:hAnsi="Arial" w:cs="Arial"/>
      <w:b/>
      <w:sz w:val="22"/>
      <w:szCs w:val="22"/>
      <w:lang w:val="sl-SI" w:eastAsia="sl-SI" w:bidi="ar-SA"/>
    </w:rPr>
  </w:style>
  <w:style w:type="paragraph" w:customStyle="1" w:styleId="Poglavje">
    <w:name w:val="Poglavje"/>
    <w:basedOn w:val="Navaden"/>
    <w:qFormat/>
    <w:rsid w:val="000E138A"/>
    <w:pPr>
      <w:overflowPunct w:val="0"/>
      <w:autoSpaceDE w:val="0"/>
      <w:autoSpaceDN w:val="0"/>
      <w:adjustRightInd w:val="0"/>
      <w:spacing w:before="360" w:after="60" w:line="200" w:lineRule="exact"/>
      <w:jc w:val="center"/>
      <w:textAlignment w:val="baseline"/>
      <w:outlineLvl w:val="3"/>
    </w:pPr>
    <w:rPr>
      <w:rFonts w:ascii="Arial" w:hAnsi="Arial" w:cs="Arial"/>
      <w:b/>
      <w:sz w:val="22"/>
      <w:szCs w:val="22"/>
      <w:lang w:eastAsia="sl-SI"/>
    </w:rPr>
  </w:style>
  <w:style w:type="paragraph" w:customStyle="1" w:styleId="Neotevilenodstavek">
    <w:name w:val="Neoštevilčen odstavek"/>
    <w:basedOn w:val="Navaden"/>
    <w:link w:val="NeotevilenodstavekZnak"/>
    <w:qFormat/>
    <w:rsid w:val="000E138A"/>
    <w:pPr>
      <w:suppressAutoHyphens w:val="0"/>
      <w:overflowPunct w:val="0"/>
      <w:autoSpaceDE w:val="0"/>
      <w:autoSpaceDN w:val="0"/>
      <w:adjustRightInd w:val="0"/>
      <w:spacing w:before="60" w:after="60" w:line="200" w:lineRule="exact"/>
      <w:jc w:val="both"/>
      <w:textAlignment w:val="baseline"/>
    </w:pPr>
    <w:rPr>
      <w:rFonts w:ascii="Arial" w:hAnsi="Arial" w:cs="Arial"/>
      <w:sz w:val="22"/>
      <w:szCs w:val="22"/>
      <w:lang w:eastAsia="sl-SI"/>
    </w:rPr>
  </w:style>
  <w:style w:type="character" w:customStyle="1" w:styleId="NeotevilenodstavekZnak">
    <w:name w:val="Neoštevilčen odstavek Znak"/>
    <w:link w:val="Neotevilenodstavek"/>
    <w:rsid w:val="000E138A"/>
    <w:rPr>
      <w:rFonts w:ascii="Arial" w:hAnsi="Arial" w:cs="Arial"/>
      <w:sz w:val="22"/>
      <w:szCs w:val="22"/>
      <w:lang w:val="sl-SI" w:eastAsia="sl-SI" w:bidi="ar-SA"/>
    </w:rPr>
  </w:style>
  <w:style w:type="paragraph" w:customStyle="1" w:styleId="Oddelek">
    <w:name w:val="Oddelek"/>
    <w:basedOn w:val="Navaden"/>
    <w:link w:val="OddelekZnak1"/>
    <w:qFormat/>
    <w:rsid w:val="000E138A"/>
    <w:pPr>
      <w:numPr>
        <w:numId w:val="1"/>
      </w:numPr>
      <w:overflowPunct w:val="0"/>
      <w:autoSpaceDE w:val="0"/>
      <w:autoSpaceDN w:val="0"/>
      <w:adjustRightInd w:val="0"/>
      <w:spacing w:before="280" w:after="60" w:line="200" w:lineRule="exact"/>
      <w:jc w:val="center"/>
      <w:textAlignment w:val="baseline"/>
      <w:outlineLvl w:val="3"/>
    </w:pPr>
    <w:rPr>
      <w:rFonts w:ascii="Arial" w:hAnsi="Arial" w:cs="Arial"/>
      <w:b/>
      <w:sz w:val="22"/>
      <w:szCs w:val="22"/>
      <w:lang w:eastAsia="sl-SI"/>
    </w:rPr>
  </w:style>
  <w:style w:type="character" w:customStyle="1" w:styleId="OddelekZnak1">
    <w:name w:val="Oddelek Znak1"/>
    <w:link w:val="Oddelek"/>
    <w:rsid w:val="000E138A"/>
    <w:rPr>
      <w:rFonts w:ascii="Arial" w:hAnsi="Arial" w:cs="Arial"/>
      <w:b/>
      <w:sz w:val="22"/>
      <w:szCs w:val="22"/>
    </w:rPr>
  </w:style>
  <w:style w:type="paragraph" w:customStyle="1" w:styleId="Alineazatoko">
    <w:name w:val="Alinea za točko"/>
    <w:basedOn w:val="Navaden"/>
    <w:link w:val="AlineazatokoZnak"/>
    <w:qFormat/>
    <w:rsid w:val="000E138A"/>
    <w:pPr>
      <w:tabs>
        <w:tab w:val="num" w:pos="360"/>
      </w:tabs>
      <w:suppressAutoHyphens w:val="0"/>
      <w:overflowPunct w:val="0"/>
      <w:autoSpaceDE w:val="0"/>
      <w:autoSpaceDN w:val="0"/>
      <w:adjustRightInd w:val="0"/>
      <w:spacing w:line="200" w:lineRule="exact"/>
      <w:jc w:val="both"/>
      <w:textAlignment w:val="baseline"/>
    </w:pPr>
    <w:rPr>
      <w:rFonts w:ascii="Arial" w:hAnsi="Arial" w:cs="Arial"/>
      <w:sz w:val="22"/>
      <w:szCs w:val="22"/>
      <w:lang w:eastAsia="sl-SI"/>
    </w:rPr>
  </w:style>
  <w:style w:type="character" w:customStyle="1" w:styleId="AlineazatokoZnak">
    <w:name w:val="Alinea za točko Znak"/>
    <w:link w:val="Alineazatoko"/>
    <w:rsid w:val="000E138A"/>
    <w:rPr>
      <w:rFonts w:ascii="Arial" w:hAnsi="Arial" w:cs="Arial"/>
      <w:sz w:val="22"/>
      <w:szCs w:val="22"/>
      <w:lang w:val="sl-SI" w:eastAsia="sl-SI" w:bidi="ar-SA"/>
    </w:rPr>
  </w:style>
  <w:style w:type="character" w:customStyle="1" w:styleId="rkovnatokazaodstavkomZnak">
    <w:name w:val="Črkovna točka_za odstavkom Znak"/>
    <w:link w:val="rkovnatokazaodstavkom"/>
    <w:rsid w:val="000E138A"/>
    <w:rPr>
      <w:rFonts w:ascii="Arial" w:hAnsi="Arial"/>
    </w:rPr>
  </w:style>
  <w:style w:type="paragraph" w:customStyle="1" w:styleId="rkovnatokazaodstavkom">
    <w:name w:val="Črkovna točka_za odstavkom"/>
    <w:basedOn w:val="Navaden"/>
    <w:link w:val="rkovnatokazaodstavkomZnak"/>
    <w:qFormat/>
    <w:rsid w:val="000E138A"/>
    <w:pPr>
      <w:numPr>
        <w:numId w:val="2"/>
      </w:numPr>
      <w:suppressAutoHyphens w:val="0"/>
      <w:overflowPunct w:val="0"/>
      <w:autoSpaceDE w:val="0"/>
      <w:autoSpaceDN w:val="0"/>
      <w:adjustRightInd w:val="0"/>
      <w:spacing w:line="200" w:lineRule="exact"/>
      <w:jc w:val="both"/>
      <w:textAlignment w:val="baseline"/>
    </w:pPr>
    <w:rPr>
      <w:rFonts w:ascii="Arial" w:hAnsi="Arial"/>
      <w:sz w:val="20"/>
      <w:szCs w:val="20"/>
      <w:lang w:eastAsia="sl-SI"/>
    </w:rPr>
  </w:style>
  <w:style w:type="paragraph" w:customStyle="1" w:styleId="Alineazaodstavkom">
    <w:name w:val="Alinea za odstavkom"/>
    <w:basedOn w:val="Alineazatoko"/>
    <w:link w:val="AlineazaodstavkomZnak"/>
    <w:qFormat/>
    <w:rsid w:val="000E138A"/>
    <w:pPr>
      <w:ind w:left="709" w:hanging="284"/>
    </w:pPr>
  </w:style>
  <w:style w:type="character" w:customStyle="1" w:styleId="AlineazaodstavkomZnak">
    <w:name w:val="Alinea za odstavkom Znak"/>
    <w:link w:val="Alineazaodstavkom"/>
    <w:rsid w:val="000E138A"/>
    <w:rPr>
      <w:rFonts w:ascii="Arial" w:hAnsi="Arial" w:cs="Arial"/>
      <w:sz w:val="22"/>
      <w:szCs w:val="22"/>
      <w:lang w:val="sl-SI" w:eastAsia="sl-SI" w:bidi="ar-SA"/>
    </w:rPr>
  </w:style>
  <w:style w:type="paragraph" w:customStyle="1" w:styleId="Odsek">
    <w:name w:val="Odsek"/>
    <w:basedOn w:val="Oddelek"/>
    <w:link w:val="OdsekZnak"/>
    <w:qFormat/>
    <w:rsid w:val="000E138A"/>
  </w:style>
  <w:style w:type="character" w:customStyle="1" w:styleId="OdsekZnak">
    <w:name w:val="Odsek Znak"/>
    <w:basedOn w:val="OddelekZnak1"/>
    <w:link w:val="Odsek"/>
    <w:rsid w:val="000E138A"/>
    <w:rPr>
      <w:rFonts w:ascii="Arial" w:hAnsi="Arial" w:cs="Arial"/>
      <w:b/>
      <w:sz w:val="22"/>
      <w:szCs w:val="22"/>
    </w:rPr>
  </w:style>
  <w:style w:type="table" w:styleId="Tabelamrea">
    <w:name w:val="Table Grid"/>
    <w:basedOn w:val="Navadnatabela"/>
    <w:rsid w:val="000E138A"/>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Glava">
    <w:name w:val="header"/>
    <w:basedOn w:val="Navaden"/>
    <w:link w:val="GlavaZnak"/>
    <w:uiPriority w:val="99"/>
    <w:rsid w:val="000E138A"/>
    <w:pPr>
      <w:tabs>
        <w:tab w:val="center" w:pos="4320"/>
        <w:tab w:val="right" w:pos="8640"/>
      </w:tabs>
      <w:suppressAutoHyphens w:val="0"/>
      <w:spacing w:line="260" w:lineRule="atLeast"/>
    </w:pPr>
    <w:rPr>
      <w:rFonts w:ascii="Arial" w:hAnsi="Arial"/>
      <w:sz w:val="20"/>
      <w:lang w:val="en-US" w:eastAsia="en-US"/>
    </w:rPr>
  </w:style>
  <w:style w:type="paragraph" w:styleId="Besedilooblaka">
    <w:name w:val="Balloon Text"/>
    <w:basedOn w:val="Navaden"/>
    <w:link w:val="BesedilooblakaZnak"/>
    <w:rsid w:val="00DC3F9B"/>
    <w:rPr>
      <w:rFonts w:ascii="Tahoma" w:hAnsi="Tahoma" w:cs="Tahoma"/>
      <w:sz w:val="16"/>
      <w:szCs w:val="16"/>
    </w:rPr>
  </w:style>
  <w:style w:type="character" w:customStyle="1" w:styleId="NogaZnak">
    <w:name w:val="Noga Znak"/>
    <w:link w:val="Noga"/>
    <w:uiPriority w:val="99"/>
    <w:rsid w:val="008A57C5"/>
    <w:rPr>
      <w:sz w:val="24"/>
      <w:szCs w:val="24"/>
      <w:lang w:eastAsia="ar-SA"/>
    </w:rPr>
  </w:style>
  <w:style w:type="paragraph" w:styleId="Odstavekseznama">
    <w:name w:val="List Paragraph"/>
    <w:basedOn w:val="Navaden"/>
    <w:uiPriority w:val="34"/>
    <w:qFormat/>
    <w:rsid w:val="00ED5CC7"/>
    <w:pPr>
      <w:ind w:left="720"/>
      <w:contextualSpacing/>
    </w:pPr>
  </w:style>
  <w:style w:type="character" w:customStyle="1" w:styleId="Naslov4Znak">
    <w:name w:val="Naslov 4 Znak"/>
    <w:basedOn w:val="Privzetapisavaodstavka"/>
    <w:link w:val="Naslov4"/>
    <w:rsid w:val="00B1296C"/>
    <w:rPr>
      <w:rFonts w:asciiTheme="majorHAnsi" w:eastAsiaTheme="majorEastAsia" w:hAnsiTheme="majorHAnsi" w:cstheme="majorBidi"/>
      <w:b/>
      <w:bCs/>
      <w:i/>
      <w:iCs/>
      <w:color w:val="5B9BD5" w:themeColor="accent1"/>
      <w:sz w:val="24"/>
      <w:szCs w:val="24"/>
      <w:lang w:eastAsia="ar-SA"/>
    </w:rPr>
  </w:style>
  <w:style w:type="character" w:styleId="Besediloograde">
    <w:name w:val="Placeholder Text"/>
    <w:basedOn w:val="Privzetapisavaodstavka"/>
    <w:uiPriority w:val="99"/>
    <w:semiHidden/>
    <w:rsid w:val="00F40F30"/>
    <w:rPr>
      <w:color w:val="808080"/>
    </w:rPr>
  </w:style>
  <w:style w:type="character" w:customStyle="1" w:styleId="Naslov2Znak">
    <w:name w:val="Naslov 2 Znak"/>
    <w:basedOn w:val="Privzetapisavaodstavka"/>
    <w:link w:val="Naslov2"/>
    <w:rsid w:val="001B0A14"/>
    <w:rPr>
      <w:rFonts w:ascii="Arial" w:hAnsi="Arial" w:cs="Arial"/>
      <w:b/>
      <w:lang w:eastAsia="ar-SA"/>
    </w:rPr>
  </w:style>
  <w:style w:type="character" w:customStyle="1" w:styleId="Naslov3Znak">
    <w:name w:val="Naslov 3 Znak"/>
    <w:basedOn w:val="Privzetapisavaodstavka"/>
    <w:link w:val="Naslov3"/>
    <w:rsid w:val="00C448AE"/>
    <w:rPr>
      <w:rFonts w:ascii="Arial" w:hAnsi="Arial" w:cs="Arial"/>
      <w:b/>
    </w:rPr>
  </w:style>
  <w:style w:type="character" w:customStyle="1" w:styleId="Naslov5Znak">
    <w:name w:val="Naslov 5 Znak"/>
    <w:basedOn w:val="Privzetapisavaodstavka"/>
    <w:link w:val="Naslov5"/>
    <w:rsid w:val="00D91D1F"/>
    <w:rPr>
      <w:rFonts w:ascii="Calibri" w:hAnsi="Calibri"/>
      <w:b/>
      <w:bCs/>
      <w:i/>
      <w:iCs/>
      <w:sz w:val="26"/>
      <w:szCs w:val="26"/>
      <w:lang w:eastAsia="ar-SA"/>
    </w:rPr>
  </w:style>
  <w:style w:type="character" w:customStyle="1" w:styleId="Naslov6Znak">
    <w:name w:val="Naslov 6 Znak"/>
    <w:basedOn w:val="Privzetapisavaodstavka"/>
    <w:link w:val="Naslov6"/>
    <w:rsid w:val="00D91D1F"/>
    <w:rPr>
      <w:rFonts w:ascii="Calibri" w:hAnsi="Calibri"/>
      <w:b/>
      <w:bCs/>
      <w:sz w:val="22"/>
      <w:szCs w:val="22"/>
      <w:lang w:eastAsia="ar-SA"/>
    </w:rPr>
  </w:style>
  <w:style w:type="character" w:customStyle="1" w:styleId="Naslov7Znak">
    <w:name w:val="Naslov 7 Znak"/>
    <w:basedOn w:val="Privzetapisavaodstavka"/>
    <w:link w:val="Naslov7"/>
    <w:rsid w:val="00D91D1F"/>
    <w:rPr>
      <w:rFonts w:ascii="Calibri" w:hAnsi="Calibri"/>
      <w:sz w:val="22"/>
      <w:szCs w:val="24"/>
      <w:lang w:eastAsia="ar-SA"/>
    </w:rPr>
  </w:style>
  <w:style w:type="character" w:customStyle="1" w:styleId="Naslov8Znak">
    <w:name w:val="Naslov 8 Znak"/>
    <w:basedOn w:val="Privzetapisavaodstavka"/>
    <w:link w:val="Naslov8"/>
    <w:rsid w:val="00D91D1F"/>
    <w:rPr>
      <w:rFonts w:ascii="Calibri" w:hAnsi="Calibri"/>
      <w:i/>
      <w:iCs/>
      <w:sz w:val="22"/>
      <w:szCs w:val="24"/>
      <w:lang w:eastAsia="ar-SA"/>
    </w:rPr>
  </w:style>
  <w:style w:type="character" w:customStyle="1" w:styleId="Naslov9Znak">
    <w:name w:val="Naslov 9 Znak"/>
    <w:basedOn w:val="Privzetapisavaodstavka"/>
    <w:link w:val="Naslov9"/>
    <w:rsid w:val="00D91D1F"/>
    <w:rPr>
      <w:rFonts w:ascii="Cambria" w:hAnsi="Cambria"/>
      <w:sz w:val="22"/>
      <w:szCs w:val="22"/>
      <w:lang w:eastAsia="ar-SA"/>
    </w:rPr>
  </w:style>
  <w:style w:type="character" w:customStyle="1" w:styleId="BesedilooblakaZnak">
    <w:name w:val="Besedilo oblačka Znak"/>
    <w:basedOn w:val="Privzetapisavaodstavka"/>
    <w:link w:val="Besedilooblaka"/>
    <w:rsid w:val="00D91D1F"/>
    <w:rPr>
      <w:rFonts w:ascii="Tahoma" w:hAnsi="Tahoma" w:cs="Tahoma"/>
      <w:sz w:val="16"/>
      <w:szCs w:val="16"/>
      <w:lang w:eastAsia="ar-SA"/>
    </w:rPr>
  </w:style>
  <w:style w:type="character" w:styleId="Pripombasklic">
    <w:name w:val="annotation reference"/>
    <w:rsid w:val="00D91D1F"/>
    <w:rPr>
      <w:sz w:val="16"/>
      <w:szCs w:val="16"/>
    </w:rPr>
  </w:style>
  <w:style w:type="paragraph" w:styleId="Pripombabesedilo">
    <w:name w:val="annotation text"/>
    <w:basedOn w:val="Navaden"/>
    <w:link w:val="PripombabesediloZnak"/>
    <w:rsid w:val="00D91D1F"/>
    <w:rPr>
      <w:rFonts w:ascii="Tahoma" w:hAnsi="Tahoma"/>
      <w:sz w:val="20"/>
      <w:szCs w:val="20"/>
    </w:rPr>
  </w:style>
  <w:style w:type="character" w:customStyle="1" w:styleId="PripombabesediloZnak">
    <w:name w:val="Pripomba – besedilo Znak"/>
    <w:basedOn w:val="Privzetapisavaodstavka"/>
    <w:link w:val="Pripombabesedilo"/>
    <w:rsid w:val="00D91D1F"/>
    <w:rPr>
      <w:rFonts w:ascii="Tahoma" w:hAnsi="Tahoma"/>
      <w:lang w:eastAsia="ar-SA"/>
    </w:rPr>
  </w:style>
  <w:style w:type="paragraph" w:styleId="Zadevapripombe">
    <w:name w:val="annotation subject"/>
    <w:basedOn w:val="Pripombabesedilo"/>
    <w:next w:val="Pripombabesedilo"/>
    <w:link w:val="ZadevapripombeZnak"/>
    <w:rsid w:val="00D91D1F"/>
    <w:rPr>
      <w:b/>
      <w:bCs/>
    </w:rPr>
  </w:style>
  <w:style w:type="character" w:customStyle="1" w:styleId="ZadevapripombeZnak">
    <w:name w:val="Zadeva pripombe Znak"/>
    <w:basedOn w:val="PripombabesediloZnak"/>
    <w:link w:val="Zadevapripombe"/>
    <w:rsid w:val="00D91D1F"/>
    <w:rPr>
      <w:rFonts w:ascii="Tahoma" w:hAnsi="Tahoma"/>
      <w:b/>
      <w:bCs/>
      <w:lang w:eastAsia="ar-SA"/>
    </w:rPr>
  </w:style>
  <w:style w:type="paragraph" w:styleId="Revizija">
    <w:name w:val="Revision"/>
    <w:hidden/>
    <w:uiPriority w:val="99"/>
    <w:semiHidden/>
    <w:rsid w:val="00D91D1F"/>
    <w:rPr>
      <w:sz w:val="24"/>
      <w:szCs w:val="24"/>
      <w:lang w:eastAsia="ar-SA"/>
    </w:rPr>
  </w:style>
  <w:style w:type="character" w:customStyle="1" w:styleId="GlavaZnak">
    <w:name w:val="Glava Znak"/>
    <w:basedOn w:val="Privzetapisavaodstavka"/>
    <w:link w:val="Glava"/>
    <w:uiPriority w:val="99"/>
    <w:rsid w:val="00D91D1F"/>
    <w:rPr>
      <w:rFonts w:ascii="Arial" w:hAnsi="Arial"/>
      <w:szCs w:val="24"/>
      <w:lang w:val="en-US" w:eastAsia="en-US"/>
    </w:rPr>
  </w:style>
  <w:style w:type="paragraph" w:styleId="NaslovTOC">
    <w:name w:val="TOC Heading"/>
    <w:basedOn w:val="Naslov1"/>
    <w:next w:val="Navaden"/>
    <w:uiPriority w:val="39"/>
    <w:qFormat/>
    <w:rsid w:val="00D91D1F"/>
    <w:pPr>
      <w:keepLines/>
      <w:overflowPunct/>
      <w:autoSpaceDE/>
      <w:autoSpaceDN/>
      <w:adjustRightInd/>
      <w:spacing w:before="480" w:after="0" w:line="276" w:lineRule="auto"/>
      <w:ind w:left="432" w:hanging="432"/>
      <w:jc w:val="left"/>
      <w:textAlignment w:val="auto"/>
      <w:outlineLvl w:val="9"/>
    </w:pPr>
    <w:rPr>
      <w:rFonts w:ascii="Tahoma" w:hAnsi="Tahoma" w:cs="Times New Roman"/>
      <w:caps/>
      <w:color w:val="365F91"/>
      <w:kern w:val="0"/>
      <w:sz w:val="28"/>
      <w:szCs w:val="28"/>
      <w:lang w:eastAsia="sl-SI"/>
    </w:rPr>
  </w:style>
  <w:style w:type="paragraph" w:styleId="Naslov">
    <w:name w:val="Title"/>
    <w:basedOn w:val="Naslov1"/>
    <w:next w:val="Navaden"/>
    <w:link w:val="NaslovZnak"/>
    <w:qFormat/>
    <w:rsid w:val="0063511F"/>
    <w:pPr>
      <w:suppressAutoHyphens/>
      <w:overflowPunct/>
      <w:autoSpaceDE/>
      <w:autoSpaceDN/>
      <w:adjustRightInd/>
      <w:ind w:left="567" w:hanging="567"/>
      <w:textAlignment w:val="auto"/>
    </w:pPr>
  </w:style>
  <w:style w:type="character" w:customStyle="1" w:styleId="NaslovZnak">
    <w:name w:val="Naslov Znak"/>
    <w:basedOn w:val="Privzetapisavaodstavka"/>
    <w:link w:val="Naslov"/>
    <w:rsid w:val="0063511F"/>
    <w:rPr>
      <w:rFonts w:ascii="Arial" w:hAnsi="Arial" w:cs="Arial"/>
      <w:b/>
      <w:bCs/>
      <w:kern w:val="32"/>
      <w:sz w:val="32"/>
      <w:szCs w:val="32"/>
      <w:lang w:eastAsia="en-US"/>
    </w:rPr>
  </w:style>
  <w:style w:type="paragraph" w:styleId="Kazalovsebine1">
    <w:name w:val="toc 1"/>
    <w:basedOn w:val="Navaden"/>
    <w:next w:val="Navaden"/>
    <w:autoRedefine/>
    <w:uiPriority w:val="39"/>
    <w:qFormat/>
    <w:rsid w:val="00AF4071"/>
    <w:pPr>
      <w:tabs>
        <w:tab w:val="left" w:pos="426"/>
        <w:tab w:val="right" w:leader="dot" w:pos="9062"/>
      </w:tabs>
      <w:ind w:left="425" w:hanging="425"/>
    </w:pPr>
    <w:rPr>
      <w:rFonts w:ascii="Tahoma" w:hAnsi="Tahoma"/>
      <w:sz w:val="22"/>
    </w:rPr>
  </w:style>
  <w:style w:type="paragraph" w:styleId="Kazalovsebine2">
    <w:name w:val="toc 2"/>
    <w:basedOn w:val="Navaden"/>
    <w:next w:val="Navaden"/>
    <w:autoRedefine/>
    <w:uiPriority w:val="39"/>
    <w:qFormat/>
    <w:rsid w:val="00D91D1F"/>
    <w:pPr>
      <w:ind w:left="240"/>
    </w:pPr>
    <w:rPr>
      <w:rFonts w:ascii="Tahoma" w:hAnsi="Tahoma"/>
      <w:sz w:val="22"/>
    </w:rPr>
  </w:style>
  <w:style w:type="paragraph" w:styleId="Napis">
    <w:name w:val="caption"/>
    <w:basedOn w:val="Navaden"/>
    <w:next w:val="Navaden"/>
    <w:qFormat/>
    <w:rsid w:val="00D91D1F"/>
    <w:rPr>
      <w:rFonts w:ascii="Tahoma" w:hAnsi="Tahoma"/>
      <w:b/>
      <w:bCs/>
      <w:sz w:val="20"/>
      <w:szCs w:val="20"/>
    </w:rPr>
  </w:style>
  <w:style w:type="character" w:customStyle="1" w:styleId="apple-converted-space">
    <w:name w:val="apple-converted-space"/>
    <w:rsid w:val="00D91D1F"/>
  </w:style>
  <w:style w:type="paragraph" w:customStyle="1" w:styleId="esegmenth4">
    <w:name w:val="esegment_h4"/>
    <w:basedOn w:val="Navaden"/>
    <w:rsid w:val="00D91D1F"/>
    <w:pPr>
      <w:suppressAutoHyphens w:val="0"/>
      <w:spacing w:before="100" w:beforeAutospacing="1" w:after="100" w:afterAutospacing="1"/>
    </w:pPr>
    <w:rPr>
      <w:lang w:val="en-GB" w:eastAsia="en-GB"/>
    </w:rPr>
  </w:style>
  <w:style w:type="paragraph" w:styleId="Navadensplet">
    <w:name w:val="Normal (Web)"/>
    <w:basedOn w:val="Navaden"/>
    <w:uiPriority w:val="99"/>
    <w:unhideWhenUsed/>
    <w:rsid w:val="00D91D1F"/>
    <w:pPr>
      <w:suppressAutoHyphens w:val="0"/>
      <w:spacing w:before="100" w:beforeAutospacing="1" w:after="100" w:afterAutospacing="1"/>
    </w:pPr>
    <w:rPr>
      <w:lang w:val="en-GB" w:eastAsia="en-GB"/>
    </w:rPr>
  </w:style>
  <w:style w:type="paragraph" w:customStyle="1" w:styleId="Odstavek">
    <w:name w:val="Odstavek"/>
    <w:basedOn w:val="Navaden"/>
    <w:link w:val="OdstavekZnak"/>
    <w:qFormat/>
    <w:rsid w:val="00D91D1F"/>
    <w:pPr>
      <w:suppressAutoHyphens w:val="0"/>
      <w:overflowPunct w:val="0"/>
      <w:autoSpaceDE w:val="0"/>
      <w:autoSpaceDN w:val="0"/>
      <w:adjustRightInd w:val="0"/>
      <w:spacing w:before="240"/>
      <w:ind w:firstLine="1021"/>
      <w:jc w:val="both"/>
      <w:textAlignment w:val="baseline"/>
    </w:pPr>
    <w:rPr>
      <w:rFonts w:ascii="Arial" w:hAnsi="Arial" w:cs="Arial"/>
      <w:sz w:val="22"/>
      <w:szCs w:val="22"/>
      <w:lang w:eastAsia="sl-SI"/>
    </w:rPr>
  </w:style>
  <w:style w:type="character" w:customStyle="1" w:styleId="OdstavekZnak">
    <w:name w:val="Odstavek Znak"/>
    <w:link w:val="Odstavek"/>
    <w:rsid w:val="00D91D1F"/>
    <w:rPr>
      <w:rFonts w:ascii="Arial" w:hAnsi="Arial" w:cs="Arial"/>
      <w:sz w:val="22"/>
      <w:szCs w:val="22"/>
    </w:rPr>
  </w:style>
  <w:style w:type="character" w:styleId="Neensklic">
    <w:name w:val="Subtle Reference"/>
    <w:uiPriority w:val="31"/>
    <w:qFormat/>
    <w:rsid w:val="00D91D1F"/>
    <w:rPr>
      <w:smallCaps/>
      <w:color w:val="C0504D"/>
      <w:u w:val="single"/>
    </w:rPr>
  </w:style>
  <w:style w:type="paragraph" w:styleId="Sprotnaopomba-besedilo">
    <w:name w:val="footnote text"/>
    <w:basedOn w:val="Navaden"/>
    <w:link w:val="Sprotnaopomba-besediloZnak"/>
    <w:rsid w:val="00D91D1F"/>
    <w:rPr>
      <w:rFonts w:ascii="Tahoma" w:hAnsi="Tahoma"/>
      <w:sz w:val="20"/>
      <w:szCs w:val="20"/>
    </w:rPr>
  </w:style>
  <w:style w:type="character" w:customStyle="1" w:styleId="Sprotnaopomba-besediloZnak">
    <w:name w:val="Sprotna opomba - besedilo Znak"/>
    <w:basedOn w:val="Privzetapisavaodstavka"/>
    <w:link w:val="Sprotnaopomba-besedilo"/>
    <w:rsid w:val="00D91D1F"/>
    <w:rPr>
      <w:rFonts w:ascii="Tahoma" w:hAnsi="Tahoma"/>
      <w:lang w:eastAsia="ar-SA"/>
    </w:rPr>
  </w:style>
  <w:style w:type="character" w:styleId="Sprotnaopomba-sklic">
    <w:name w:val="footnote reference"/>
    <w:rsid w:val="00D91D1F"/>
    <w:rPr>
      <w:vertAlign w:val="superscript"/>
    </w:rPr>
  </w:style>
  <w:style w:type="character" w:styleId="Naslovknjige">
    <w:name w:val="Book Title"/>
    <w:basedOn w:val="Privzetapisavaodstavka"/>
    <w:uiPriority w:val="33"/>
    <w:qFormat/>
    <w:rsid w:val="00EA76A8"/>
    <w:rPr>
      <w:b/>
      <w:bCs/>
      <w:smallCaps/>
      <w:spacing w:val="5"/>
    </w:rPr>
  </w:style>
  <w:style w:type="paragraph" w:customStyle="1" w:styleId="PoglavjeNP">
    <w:name w:val="PoglavjeNP"/>
    <w:basedOn w:val="Naslov1"/>
    <w:link w:val="PoglavjeNPZnak"/>
    <w:autoRedefine/>
    <w:qFormat/>
    <w:rsid w:val="008661AD"/>
    <w:pPr>
      <w:numPr>
        <w:numId w:val="20"/>
      </w:numPr>
      <w:suppressAutoHyphens/>
      <w:overflowPunct/>
      <w:autoSpaceDE/>
      <w:autoSpaceDN/>
      <w:adjustRightInd/>
      <w:textAlignment w:val="auto"/>
    </w:pPr>
  </w:style>
  <w:style w:type="paragraph" w:customStyle="1" w:styleId="podpoglavjeNP">
    <w:name w:val="podpoglavjeNP"/>
    <w:basedOn w:val="Navaden"/>
    <w:link w:val="podpoglavjeNPZnak"/>
    <w:qFormat/>
    <w:rsid w:val="00CA75C0"/>
    <w:pPr>
      <w:jc w:val="both"/>
    </w:pPr>
    <w:rPr>
      <w:rFonts w:ascii="Arial" w:hAnsi="Arial" w:cs="Arial"/>
      <w:b/>
      <w:sz w:val="20"/>
      <w:szCs w:val="20"/>
    </w:rPr>
  </w:style>
  <w:style w:type="character" w:customStyle="1" w:styleId="PoglavjeNPZnak">
    <w:name w:val="PoglavjeNP Znak"/>
    <w:basedOn w:val="Naslov1Znak"/>
    <w:link w:val="PoglavjeNP"/>
    <w:rsid w:val="008661AD"/>
    <w:rPr>
      <w:rFonts w:ascii="Arial" w:hAnsi="Arial" w:cs="Arial"/>
      <w:b/>
      <w:bCs/>
      <w:kern w:val="32"/>
      <w:sz w:val="32"/>
      <w:szCs w:val="32"/>
      <w:lang w:val="sl-SI" w:eastAsia="en-US" w:bidi="ar-SA"/>
    </w:rPr>
  </w:style>
  <w:style w:type="character" w:customStyle="1" w:styleId="podpoglavjeNPZnak">
    <w:name w:val="podpoglavjeNP Znak"/>
    <w:basedOn w:val="Privzetapisavaodstavka"/>
    <w:link w:val="podpoglavjeNP"/>
    <w:rsid w:val="00CA75C0"/>
    <w:rPr>
      <w:rFonts w:ascii="Arial" w:hAnsi="Arial" w:cs="Arial"/>
      <w:b/>
      <w:lang w:eastAsia="ar-SA"/>
    </w:rPr>
  </w:style>
  <w:style w:type="paragraph" w:styleId="Kazalovsebine3">
    <w:name w:val="toc 3"/>
    <w:basedOn w:val="Navaden"/>
    <w:next w:val="Navaden"/>
    <w:autoRedefine/>
    <w:uiPriority w:val="39"/>
    <w:unhideWhenUsed/>
    <w:qFormat/>
    <w:rsid w:val="005778A2"/>
    <w:pPr>
      <w:suppressAutoHyphens w:val="0"/>
      <w:spacing w:after="100" w:line="276" w:lineRule="auto"/>
      <w:ind w:left="440"/>
    </w:pPr>
    <w:rPr>
      <w:rFonts w:asciiTheme="minorHAnsi" w:eastAsiaTheme="minorEastAsia" w:hAnsiTheme="minorHAnsi" w:cstheme="minorBidi"/>
      <w:sz w:val="22"/>
      <w:szCs w:val="22"/>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800805">
      <w:bodyDiv w:val="1"/>
      <w:marLeft w:val="0"/>
      <w:marRight w:val="0"/>
      <w:marTop w:val="0"/>
      <w:marBottom w:val="0"/>
      <w:divBdr>
        <w:top w:val="none" w:sz="0" w:space="0" w:color="auto"/>
        <w:left w:val="none" w:sz="0" w:space="0" w:color="auto"/>
        <w:bottom w:val="none" w:sz="0" w:space="0" w:color="auto"/>
        <w:right w:val="none" w:sz="0" w:space="0" w:color="auto"/>
      </w:divBdr>
    </w:div>
    <w:div w:id="197544342">
      <w:bodyDiv w:val="1"/>
      <w:marLeft w:val="0"/>
      <w:marRight w:val="0"/>
      <w:marTop w:val="0"/>
      <w:marBottom w:val="0"/>
      <w:divBdr>
        <w:top w:val="none" w:sz="0" w:space="0" w:color="auto"/>
        <w:left w:val="none" w:sz="0" w:space="0" w:color="auto"/>
        <w:bottom w:val="none" w:sz="0" w:space="0" w:color="auto"/>
        <w:right w:val="none" w:sz="0" w:space="0" w:color="auto"/>
      </w:divBdr>
      <w:divsChild>
        <w:div w:id="156844108">
          <w:marLeft w:val="0"/>
          <w:marRight w:val="0"/>
          <w:marTop w:val="0"/>
          <w:marBottom w:val="0"/>
          <w:divBdr>
            <w:top w:val="none" w:sz="0" w:space="0" w:color="auto"/>
            <w:left w:val="none" w:sz="0" w:space="0" w:color="auto"/>
            <w:bottom w:val="none" w:sz="0" w:space="0" w:color="auto"/>
            <w:right w:val="none" w:sz="0" w:space="0" w:color="auto"/>
          </w:divBdr>
          <w:divsChild>
            <w:div w:id="1516386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8894284">
      <w:bodyDiv w:val="1"/>
      <w:marLeft w:val="0"/>
      <w:marRight w:val="0"/>
      <w:marTop w:val="0"/>
      <w:marBottom w:val="0"/>
      <w:divBdr>
        <w:top w:val="none" w:sz="0" w:space="0" w:color="auto"/>
        <w:left w:val="none" w:sz="0" w:space="0" w:color="auto"/>
        <w:bottom w:val="none" w:sz="0" w:space="0" w:color="auto"/>
        <w:right w:val="none" w:sz="0" w:space="0" w:color="auto"/>
      </w:divBdr>
    </w:div>
    <w:div w:id="480193486">
      <w:bodyDiv w:val="1"/>
      <w:marLeft w:val="0"/>
      <w:marRight w:val="0"/>
      <w:marTop w:val="0"/>
      <w:marBottom w:val="0"/>
      <w:divBdr>
        <w:top w:val="none" w:sz="0" w:space="0" w:color="auto"/>
        <w:left w:val="none" w:sz="0" w:space="0" w:color="auto"/>
        <w:bottom w:val="none" w:sz="0" w:space="0" w:color="auto"/>
        <w:right w:val="none" w:sz="0" w:space="0" w:color="auto"/>
      </w:divBdr>
    </w:div>
    <w:div w:id="724068159">
      <w:bodyDiv w:val="1"/>
      <w:marLeft w:val="0"/>
      <w:marRight w:val="0"/>
      <w:marTop w:val="0"/>
      <w:marBottom w:val="0"/>
      <w:divBdr>
        <w:top w:val="none" w:sz="0" w:space="0" w:color="auto"/>
        <w:left w:val="none" w:sz="0" w:space="0" w:color="auto"/>
        <w:bottom w:val="none" w:sz="0" w:space="0" w:color="auto"/>
        <w:right w:val="none" w:sz="0" w:space="0" w:color="auto"/>
      </w:divBdr>
    </w:div>
    <w:div w:id="771361623">
      <w:bodyDiv w:val="1"/>
      <w:marLeft w:val="0"/>
      <w:marRight w:val="0"/>
      <w:marTop w:val="0"/>
      <w:marBottom w:val="0"/>
      <w:divBdr>
        <w:top w:val="none" w:sz="0" w:space="0" w:color="auto"/>
        <w:left w:val="none" w:sz="0" w:space="0" w:color="auto"/>
        <w:bottom w:val="none" w:sz="0" w:space="0" w:color="auto"/>
        <w:right w:val="none" w:sz="0" w:space="0" w:color="auto"/>
      </w:divBdr>
    </w:div>
    <w:div w:id="821506739">
      <w:bodyDiv w:val="1"/>
      <w:marLeft w:val="0"/>
      <w:marRight w:val="0"/>
      <w:marTop w:val="0"/>
      <w:marBottom w:val="0"/>
      <w:divBdr>
        <w:top w:val="none" w:sz="0" w:space="0" w:color="auto"/>
        <w:left w:val="none" w:sz="0" w:space="0" w:color="auto"/>
        <w:bottom w:val="none" w:sz="0" w:space="0" w:color="auto"/>
        <w:right w:val="none" w:sz="0" w:space="0" w:color="auto"/>
      </w:divBdr>
    </w:div>
    <w:div w:id="829951877">
      <w:bodyDiv w:val="1"/>
      <w:marLeft w:val="0"/>
      <w:marRight w:val="0"/>
      <w:marTop w:val="0"/>
      <w:marBottom w:val="0"/>
      <w:divBdr>
        <w:top w:val="none" w:sz="0" w:space="0" w:color="auto"/>
        <w:left w:val="none" w:sz="0" w:space="0" w:color="auto"/>
        <w:bottom w:val="none" w:sz="0" w:space="0" w:color="auto"/>
        <w:right w:val="none" w:sz="0" w:space="0" w:color="auto"/>
      </w:divBdr>
    </w:div>
    <w:div w:id="1073812973">
      <w:bodyDiv w:val="1"/>
      <w:marLeft w:val="0"/>
      <w:marRight w:val="0"/>
      <w:marTop w:val="0"/>
      <w:marBottom w:val="0"/>
      <w:divBdr>
        <w:top w:val="none" w:sz="0" w:space="0" w:color="auto"/>
        <w:left w:val="none" w:sz="0" w:space="0" w:color="auto"/>
        <w:bottom w:val="none" w:sz="0" w:space="0" w:color="auto"/>
        <w:right w:val="none" w:sz="0" w:space="0" w:color="auto"/>
      </w:divBdr>
    </w:div>
    <w:div w:id="1138063519">
      <w:bodyDiv w:val="1"/>
      <w:marLeft w:val="0"/>
      <w:marRight w:val="0"/>
      <w:marTop w:val="0"/>
      <w:marBottom w:val="0"/>
      <w:divBdr>
        <w:top w:val="none" w:sz="0" w:space="0" w:color="auto"/>
        <w:left w:val="none" w:sz="0" w:space="0" w:color="auto"/>
        <w:bottom w:val="none" w:sz="0" w:space="0" w:color="auto"/>
        <w:right w:val="none" w:sz="0" w:space="0" w:color="auto"/>
      </w:divBdr>
    </w:div>
    <w:div w:id="1179736288">
      <w:bodyDiv w:val="1"/>
      <w:marLeft w:val="0"/>
      <w:marRight w:val="0"/>
      <w:marTop w:val="0"/>
      <w:marBottom w:val="0"/>
      <w:divBdr>
        <w:top w:val="none" w:sz="0" w:space="0" w:color="auto"/>
        <w:left w:val="none" w:sz="0" w:space="0" w:color="auto"/>
        <w:bottom w:val="none" w:sz="0" w:space="0" w:color="auto"/>
        <w:right w:val="none" w:sz="0" w:space="0" w:color="auto"/>
      </w:divBdr>
    </w:div>
    <w:div w:id="1355500669">
      <w:bodyDiv w:val="1"/>
      <w:marLeft w:val="0"/>
      <w:marRight w:val="0"/>
      <w:marTop w:val="0"/>
      <w:marBottom w:val="0"/>
      <w:divBdr>
        <w:top w:val="none" w:sz="0" w:space="0" w:color="auto"/>
        <w:left w:val="none" w:sz="0" w:space="0" w:color="auto"/>
        <w:bottom w:val="none" w:sz="0" w:space="0" w:color="auto"/>
        <w:right w:val="none" w:sz="0" w:space="0" w:color="auto"/>
      </w:divBdr>
    </w:div>
    <w:div w:id="1827434868">
      <w:bodyDiv w:val="1"/>
      <w:marLeft w:val="0"/>
      <w:marRight w:val="0"/>
      <w:marTop w:val="0"/>
      <w:marBottom w:val="0"/>
      <w:divBdr>
        <w:top w:val="none" w:sz="0" w:space="0" w:color="auto"/>
        <w:left w:val="none" w:sz="0" w:space="0" w:color="auto"/>
        <w:bottom w:val="none" w:sz="0" w:space="0" w:color="auto"/>
        <w:right w:val="none" w:sz="0" w:space="0" w:color="auto"/>
      </w:divBdr>
      <w:divsChild>
        <w:div w:id="1541893911">
          <w:marLeft w:val="0"/>
          <w:marRight w:val="0"/>
          <w:marTop w:val="0"/>
          <w:marBottom w:val="0"/>
          <w:divBdr>
            <w:top w:val="none" w:sz="0" w:space="0" w:color="auto"/>
            <w:left w:val="none" w:sz="0" w:space="0" w:color="auto"/>
            <w:bottom w:val="none" w:sz="0" w:space="0" w:color="auto"/>
            <w:right w:val="none" w:sz="0" w:space="0" w:color="auto"/>
          </w:divBdr>
          <w:divsChild>
            <w:div w:id="778723410">
              <w:marLeft w:val="0"/>
              <w:marRight w:val="0"/>
              <w:marTop w:val="100"/>
              <w:marBottom w:val="100"/>
              <w:divBdr>
                <w:top w:val="none" w:sz="0" w:space="0" w:color="auto"/>
                <w:left w:val="none" w:sz="0" w:space="0" w:color="auto"/>
                <w:bottom w:val="none" w:sz="0" w:space="0" w:color="auto"/>
                <w:right w:val="none" w:sz="0" w:space="0" w:color="auto"/>
              </w:divBdr>
              <w:divsChild>
                <w:div w:id="154298960">
                  <w:marLeft w:val="0"/>
                  <w:marRight w:val="0"/>
                  <w:marTop w:val="0"/>
                  <w:marBottom w:val="0"/>
                  <w:divBdr>
                    <w:top w:val="none" w:sz="0" w:space="0" w:color="auto"/>
                    <w:left w:val="none" w:sz="0" w:space="0" w:color="auto"/>
                    <w:bottom w:val="none" w:sz="0" w:space="0" w:color="auto"/>
                    <w:right w:val="none" w:sz="0" w:space="0" w:color="auto"/>
                  </w:divBdr>
                  <w:divsChild>
                    <w:div w:id="148786048">
                      <w:marLeft w:val="0"/>
                      <w:marRight w:val="0"/>
                      <w:marTop w:val="0"/>
                      <w:marBottom w:val="0"/>
                      <w:divBdr>
                        <w:top w:val="none" w:sz="0" w:space="0" w:color="auto"/>
                        <w:left w:val="none" w:sz="0" w:space="0" w:color="auto"/>
                        <w:bottom w:val="none" w:sz="0" w:space="0" w:color="auto"/>
                        <w:right w:val="none" w:sz="0" w:space="0" w:color="auto"/>
                      </w:divBdr>
                      <w:divsChild>
                        <w:div w:id="211424291">
                          <w:marLeft w:val="0"/>
                          <w:marRight w:val="0"/>
                          <w:marTop w:val="0"/>
                          <w:marBottom w:val="0"/>
                          <w:divBdr>
                            <w:top w:val="none" w:sz="0" w:space="0" w:color="auto"/>
                            <w:left w:val="none" w:sz="0" w:space="0" w:color="auto"/>
                            <w:bottom w:val="none" w:sz="0" w:space="0" w:color="auto"/>
                            <w:right w:val="none" w:sz="0" w:space="0" w:color="auto"/>
                          </w:divBdr>
                          <w:divsChild>
                            <w:div w:id="1054428593">
                              <w:marLeft w:val="0"/>
                              <w:marRight w:val="0"/>
                              <w:marTop w:val="0"/>
                              <w:marBottom w:val="0"/>
                              <w:divBdr>
                                <w:top w:val="none" w:sz="0" w:space="0" w:color="auto"/>
                                <w:left w:val="none" w:sz="0" w:space="0" w:color="auto"/>
                                <w:bottom w:val="none" w:sz="0" w:space="0" w:color="auto"/>
                                <w:right w:val="none" w:sz="0" w:space="0" w:color="auto"/>
                              </w:divBdr>
                              <w:divsChild>
                                <w:div w:id="2102026932">
                                  <w:marLeft w:val="0"/>
                                  <w:marRight w:val="0"/>
                                  <w:marTop w:val="0"/>
                                  <w:marBottom w:val="0"/>
                                  <w:divBdr>
                                    <w:top w:val="none" w:sz="0" w:space="0" w:color="auto"/>
                                    <w:left w:val="none" w:sz="0" w:space="0" w:color="auto"/>
                                    <w:bottom w:val="none" w:sz="0" w:space="0" w:color="auto"/>
                                    <w:right w:val="none" w:sz="0" w:space="0" w:color="auto"/>
                                  </w:divBdr>
                                  <w:divsChild>
                                    <w:div w:id="395250365">
                                      <w:marLeft w:val="0"/>
                                      <w:marRight w:val="0"/>
                                      <w:marTop w:val="0"/>
                                      <w:marBottom w:val="0"/>
                                      <w:divBdr>
                                        <w:top w:val="none" w:sz="0" w:space="0" w:color="auto"/>
                                        <w:left w:val="none" w:sz="0" w:space="0" w:color="auto"/>
                                        <w:bottom w:val="none" w:sz="0" w:space="0" w:color="auto"/>
                                        <w:right w:val="none" w:sz="0" w:space="0" w:color="auto"/>
                                      </w:divBdr>
                                      <w:divsChild>
                                        <w:div w:id="584723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15956167">
      <w:bodyDiv w:val="1"/>
      <w:marLeft w:val="0"/>
      <w:marRight w:val="0"/>
      <w:marTop w:val="0"/>
      <w:marBottom w:val="0"/>
      <w:divBdr>
        <w:top w:val="none" w:sz="0" w:space="0" w:color="auto"/>
        <w:left w:val="none" w:sz="0" w:space="0" w:color="auto"/>
        <w:bottom w:val="none" w:sz="0" w:space="0" w:color="auto"/>
        <w:right w:val="none" w:sz="0" w:space="0" w:color="auto"/>
      </w:divBdr>
    </w:div>
    <w:div w:id="2067869600">
      <w:bodyDiv w:val="1"/>
      <w:marLeft w:val="0"/>
      <w:marRight w:val="0"/>
      <w:marTop w:val="0"/>
      <w:marBottom w:val="0"/>
      <w:divBdr>
        <w:top w:val="none" w:sz="0" w:space="0" w:color="auto"/>
        <w:left w:val="none" w:sz="0" w:space="0" w:color="auto"/>
        <w:bottom w:val="none" w:sz="0" w:space="0" w:color="auto"/>
        <w:right w:val="none" w:sz="0" w:space="0" w:color="auto"/>
      </w:divBdr>
    </w:div>
    <w:div w:id="2144035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10-01-0315" TargetMode="External"/><Relationship Id="rId18" Type="http://schemas.openxmlformats.org/officeDocument/2006/relationships/hyperlink" Target="http://www.uradni-list.si/1/objava.jsp?sop=2012-01-2012" TargetMode="External"/><Relationship Id="rId26" Type="http://schemas.openxmlformats.org/officeDocument/2006/relationships/hyperlink" Target="http://www.uradni-list.si/1/objava.jsp?sop=2010-01-5732"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http://www.uradni-list.si/1/objava.jsp?sop=1996-01-0609" TargetMode="External"/><Relationship Id="rId17" Type="http://schemas.openxmlformats.org/officeDocument/2006/relationships/hyperlink" Target="http://www.uradni-list.si/1/objava.jsp?sop=2010-01-5732" TargetMode="External"/><Relationship Id="rId25" Type="http://schemas.openxmlformats.org/officeDocument/2006/relationships/hyperlink" Target="http://www.uradni-list.si/1/objava.jsp?sop=2004-01-2300" TargetMode="External"/><Relationship Id="rId2" Type="http://schemas.openxmlformats.org/officeDocument/2006/relationships/numbering" Target="numbering.xml"/><Relationship Id="rId16" Type="http://schemas.openxmlformats.org/officeDocument/2006/relationships/hyperlink" Target="http://www.di.gov.si/" TargetMode="External"/><Relationship Id="rId20" Type="http://schemas.openxmlformats.org/officeDocument/2006/relationships/hyperlink" Target="http://www.uradni-list.si/1/objava.jsp?sop=2015-01-1878"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10-01-5732" TargetMode="External"/><Relationship Id="rId24" Type="http://schemas.openxmlformats.org/officeDocument/2006/relationships/image" Target="media/image3.png"/><Relationship Id="rId32" Type="http://schemas.openxmlformats.org/officeDocument/2006/relationships/theme" Target="theme/theme1.xml"/><Relationship Id="rId45" Type="http://schemas.microsoft.com/office/2011/relationships/people" Target="people.xml"/><Relationship Id="rId5" Type="http://schemas.openxmlformats.org/officeDocument/2006/relationships/settings" Target="settings.xml"/><Relationship Id="rId15" Type="http://schemas.openxmlformats.org/officeDocument/2006/relationships/hyperlink" Target="http://www.di.gov.si/" TargetMode="External"/><Relationship Id="rId23" Type="http://schemas.openxmlformats.org/officeDocument/2006/relationships/image" Target="media/image2.png"/><Relationship Id="rId28" Type="http://schemas.openxmlformats.org/officeDocument/2006/relationships/footer" Target="footer2.xml"/><Relationship Id="rId10" Type="http://schemas.openxmlformats.org/officeDocument/2006/relationships/hyperlink" Target="http://www.uradni-list.si/1/objava.jsp?sop=2004-01-2300" TargetMode="External"/><Relationship Id="rId19" Type="http://schemas.openxmlformats.org/officeDocument/2006/relationships/hyperlink" Target="http://www.uradni-list.si/1/objava.jsp?sop=2014-01-1474" TargetMode="External"/><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uradni-list.si/1/objava.jsp?urlurid=20104686" TargetMode="External"/><Relationship Id="rId22" Type="http://schemas.openxmlformats.org/officeDocument/2006/relationships/footer" Target="footer1.xml"/><Relationship Id="rId27" Type="http://schemas.openxmlformats.org/officeDocument/2006/relationships/header" Target="header2.xml"/><Relationship Id="rId30" Type="http://schemas.openxmlformats.org/officeDocument/2006/relationships/footer" Target="footer3.xml"/></Relationships>
</file>

<file path=word/_rels/footnotes.xml.rels><?xml version="1.0" encoding="UTF-8" standalone="yes"?>
<Relationships xmlns="http://schemas.openxmlformats.org/package/2006/relationships"><Relationship Id="rId1" Type="http://schemas.openxmlformats.org/officeDocument/2006/relationships/hyperlink" Target="http://www.internationaltransportforum.org/statistics/StatBrief/2015-07-Spending-Infrastructure.pdf"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60D4DDD-4DAE-4FC8-A50C-7107AFDA67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38</Pages>
  <Words>17684</Words>
  <Characters>100799</Characters>
  <Application>Microsoft Office Word</Application>
  <DocSecurity>0</DocSecurity>
  <Lines>839</Lines>
  <Paragraphs>236</Paragraphs>
  <ScaleCrop>false</ScaleCrop>
  <HeadingPairs>
    <vt:vector size="2" baseType="variant">
      <vt:variant>
        <vt:lpstr>Naslov</vt:lpstr>
      </vt:variant>
      <vt:variant>
        <vt:i4>1</vt:i4>
      </vt:variant>
    </vt:vector>
  </HeadingPairs>
  <TitlesOfParts>
    <vt:vector size="1" baseType="lpstr">
      <vt:lpstr/>
    </vt:vector>
  </TitlesOfParts>
  <Company>MZP</Company>
  <LinksUpToDate>false</LinksUpToDate>
  <CharactersWithSpaces>118247</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Petra Glažar</dc:creator>
  <cp:lastModifiedBy>Dijana Ciriković</cp:lastModifiedBy>
  <cp:revision>2</cp:revision>
  <cp:lastPrinted>2016-07-19T07:57:00Z</cp:lastPrinted>
  <dcterms:created xsi:type="dcterms:W3CDTF">2016-07-19T12:00:00Z</dcterms:created>
  <dcterms:modified xsi:type="dcterms:W3CDTF">2016-07-19T12:00:00Z</dcterms:modified>
</cp:coreProperties>
</file>