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3F42D" w14:textId="77777777" w:rsidR="005C7977" w:rsidRPr="00D55AB6" w:rsidRDefault="005C7977" w:rsidP="005C7977">
      <w:pPr>
        <w:pStyle w:val="Naslovpredpisa"/>
        <w:spacing w:before="0" w:after="0" w:line="260" w:lineRule="exact"/>
        <w:jc w:val="both"/>
        <w:rPr>
          <w:sz w:val="20"/>
          <w:szCs w:val="20"/>
          <w:lang w:val="sl-SI"/>
        </w:rPr>
      </w:pPr>
      <w:r w:rsidRPr="00D55AB6">
        <w:rPr>
          <w:sz w:val="20"/>
          <w:szCs w:val="20"/>
          <w:lang w:val="sl-SI"/>
        </w:rPr>
        <w:t xml:space="preserve">PRILOGA 3 </w:t>
      </w:r>
    </w:p>
    <w:p w14:paraId="1B6B14A1" w14:textId="77777777" w:rsidR="005C7977" w:rsidRPr="00D55AB6" w:rsidRDefault="005C7977" w:rsidP="005C7977">
      <w:pPr>
        <w:pStyle w:val="Naslovpredpisa"/>
        <w:spacing w:before="0" w:after="0" w:line="260" w:lineRule="exact"/>
        <w:jc w:val="left"/>
        <w:rPr>
          <w:sz w:val="20"/>
          <w:szCs w:val="20"/>
          <w:lang w:val="sl-SI"/>
        </w:rPr>
      </w:pPr>
    </w:p>
    <w:p w14:paraId="76031364" w14:textId="77777777" w:rsidR="005C7977" w:rsidRPr="00D55AB6" w:rsidRDefault="005C7977" w:rsidP="005C7977">
      <w:pPr>
        <w:pStyle w:val="Naslovpredpisa"/>
        <w:spacing w:before="0" w:after="0" w:line="260" w:lineRule="exact"/>
        <w:jc w:val="right"/>
        <w:rPr>
          <w:sz w:val="20"/>
          <w:szCs w:val="20"/>
          <w:lang w:val="sl-SI"/>
        </w:rPr>
      </w:pPr>
      <w:r w:rsidRPr="00D55AB6">
        <w:rPr>
          <w:sz w:val="20"/>
          <w:szCs w:val="20"/>
          <w:lang w:val="sl-SI"/>
        </w:rPr>
        <w:t>PREDLOG</w:t>
      </w:r>
    </w:p>
    <w:p w14:paraId="6F0BD84A" w14:textId="45CE2980" w:rsidR="005C7977" w:rsidRPr="00D55AB6" w:rsidRDefault="005C7977" w:rsidP="005C7977">
      <w:pPr>
        <w:pStyle w:val="Naslovpredpisa"/>
        <w:spacing w:before="0" w:after="0" w:line="260" w:lineRule="exact"/>
        <w:jc w:val="right"/>
        <w:rPr>
          <w:sz w:val="20"/>
          <w:szCs w:val="20"/>
          <w:lang w:val="sl-SI"/>
        </w:rPr>
      </w:pPr>
      <w:r w:rsidRPr="00D55AB6">
        <w:rPr>
          <w:sz w:val="20"/>
          <w:szCs w:val="20"/>
          <w:lang w:val="sl-SI"/>
        </w:rPr>
        <w:t xml:space="preserve">(EVA </w:t>
      </w:r>
      <w:r w:rsidR="00811E02" w:rsidRPr="00E57E12">
        <w:rPr>
          <w:rFonts w:cs="Arial"/>
          <w:sz w:val="20"/>
          <w:szCs w:val="20"/>
        </w:rPr>
        <w:t>2017-1611-0080</w:t>
      </w:r>
      <w:r w:rsidRPr="00D55AB6">
        <w:rPr>
          <w:sz w:val="20"/>
          <w:szCs w:val="20"/>
          <w:lang w:val="sl-SI"/>
        </w:rPr>
        <w:t>)</w:t>
      </w:r>
    </w:p>
    <w:tbl>
      <w:tblPr>
        <w:tblW w:w="0" w:type="auto"/>
        <w:tblLook w:val="04A0" w:firstRow="1" w:lastRow="0" w:firstColumn="1" w:lastColumn="0" w:noHBand="0" w:noVBand="1"/>
      </w:tblPr>
      <w:tblGrid>
        <w:gridCol w:w="9213"/>
      </w:tblGrid>
      <w:tr w:rsidR="005C7977" w:rsidRPr="00415A84" w14:paraId="53681431" w14:textId="77777777" w:rsidTr="00216268">
        <w:tc>
          <w:tcPr>
            <w:tcW w:w="9213" w:type="dxa"/>
          </w:tcPr>
          <w:p w14:paraId="111AE001" w14:textId="77777777" w:rsidR="00811E02" w:rsidRDefault="00811E02" w:rsidP="00766741">
            <w:pPr>
              <w:pStyle w:val="Naslovpredpisa"/>
              <w:spacing w:before="0" w:after="0" w:line="260" w:lineRule="exact"/>
              <w:rPr>
                <w:rFonts w:eastAsia="Calibri" w:cs="Arial"/>
                <w:sz w:val="20"/>
                <w:szCs w:val="20"/>
                <w:lang w:val="sl-SI" w:eastAsia="en-US"/>
              </w:rPr>
            </w:pPr>
          </w:p>
          <w:p w14:paraId="34757D8E" w14:textId="77777777" w:rsidR="005C7977" w:rsidRPr="00DD0E22" w:rsidRDefault="005C7977" w:rsidP="00766741">
            <w:pPr>
              <w:pStyle w:val="Naslovpredpisa"/>
              <w:spacing w:before="0" w:after="0" w:line="260" w:lineRule="exact"/>
              <w:rPr>
                <w:rFonts w:eastAsia="Calibri" w:cs="Arial"/>
                <w:sz w:val="20"/>
                <w:szCs w:val="20"/>
                <w:lang w:val="sl-SI" w:eastAsia="en-US"/>
              </w:rPr>
            </w:pPr>
            <w:r w:rsidRPr="00DD0E22">
              <w:rPr>
                <w:rFonts w:eastAsia="Calibri" w:cs="Arial"/>
                <w:sz w:val="20"/>
                <w:szCs w:val="20"/>
                <w:lang w:val="sl-SI" w:eastAsia="en-US"/>
              </w:rPr>
              <w:t xml:space="preserve">ZAKON </w:t>
            </w:r>
          </w:p>
          <w:p w14:paraId="1A5E6F01" w14:textId="6B6FD186" w:rsidR="005C7977" w:rsidRPr="00DD0E22" w:rsidRDefault="005C7977" w:rsidP="00766741">
            <w:pPr>
              <w:suppressAutoHyphens/>
              <w:overflowPunct w:val="0"/>
              <w:autoSpaceDE w:val="0"/>
              <w:autoSpaceDN w:val="0"/>
              <w:adjustRightInd w:val="0"/>
              <w:spacing w:after="0" w:line="260" w:lineRule="exact"/>
              <w:jc w:val="center"/>
              <w:textAlignment w:val="baseline"/>
              <w:rPr>
                <w:rFonts w:ascii="Arial" w:hAnsi="Arial" w:cs="Arial"/>
                <w:b/>
                <w:sz w:val="20"/>
                <w:szCs w:val="20"/>
              </w:rPr>
            </w:pPr>
            <w:r w:rsidRPr="00DD0E22">
              <w:rPr>
                <w:rFonts w:ascii="Arial" w:hAnsi="Arial" w:cs="Arial"/>
                <w:b/>
                <w:sz w:val="20"/>
                <w:szCs w:val="20"/>
              </w:rPr>
              <w:t>O SPREMEMBAH ZAKONA O DAVKU NA TONAŽO</w:t>
            </w:r>
            <w:r w:rsidR="00684337">
              <w:rPr>
                <w:rFonts w:ascii="Arial" w:hAnsi="Arial" w:cs="Arial"/>
                <w:b/>
                <w:sz w:val="20"/>
                <w:szCs w:val="20"/>
              </w:rPr>
              <w:t xml:space="preserve"> –</w:t>
            </w:r>
            <w:r w:rsidR="00976BD0">
              <w:rPr>
                <w:rFonts w:ascii="Arial" w:hAnsi="Arial" w:cs="Arial"/>
                <w:b/>
                <w:sz w:val="20"/>
                <w:szCs w:val="20"/>
              </w:rPr>
              <w:t xml:space="preserve"> </w:t>
            </w:r>
            <w:r w:rsidR="00684337">
              <w:rPr>
                <w:rFonts w:ascii="Arial" w:hAnsi="Arial" w:cs="Arial"/>
                <w:b/>
                <w:sz w:val="20"/>
                <w:szCs w:val="20"/>
              </w:rPr>
              <w:t>skrajšan postopek</w:t>
            </w:r>
          </w:p>
          <w:p w14:paraId="33D5389B" w14:textId="77777777" w:rsidR="005C7977" w:rsidRPr="00415A84" w:rsidRDefault="005C7977" w:rsidP="00766741">
            <w:pPr>
              <w:pStyle w:val="Naslovpredpisa"/>
              <w:spacing w:before="0" w:after="0" w:line="260" w:lineRule="exact"/>
              <w:rPr>
                <w:rFonts w:eastAsia="Calibri" w:cs="Arial"/>
                <w:b w:val="0"/>
                <w:sz w:val="20"/>
                <w:szCs w:val="20"/>
                <w:lang w:val="sl-SI" w:eastAsia="en-US"/>
              </w:rPr>
            </w:pPr>
          </w:p>
          <w:p w14:paraId="15E9517A" w14:textId="77777777" w:rsidR="005C7977" w:rsidRPr="00415A84" w:rsidRDefault="005C7977" w:rsidP="00766741">
            <w:pPr>
              <w:pStyle w:val="Naslovpredpisa"/>
              <w:spacing w:before="0" w:after="0" w:line="260" w:lineRule="exact"/>
              <w:rPr>
                <w:rFonts w:eastAsia="Calibri" w:cs="Arial"/>
                <w:b w:val="0"/>
                <w:sz w:val="20"/>
                <w:szCs w:val="20"/>
                <w:lang w:val="sl-SI" w:eastAsia="en-US"/>
              </w:rPr>
            </w:pPr>
          </w:p>
          <w:tbl>
            <w:tblPr>
              <w:tblW w:w="0" w:type="auto"/>
              <w:tblLook w:val="04A0" w:firstRow="1" w:lastRow="0" w:firstColumn="1" w:lastColumn="0" w:noHBand="0" w:noVBand="1"/>
            </w:tblPr>
            <w:tblGrid>
              <w:gridCol w:w="8997"/>
            </w:tblGrid>
            <w:tr w:rsidR="005C7977" w:rsidRPr="00415A84" w14:paraId="736143A2" w14:textId="77777777" w:rsidTr="00766741">
              <w:tc>
                <w:tcPr>
                  <w:tcW w:w="9213" w:type="dxa"/>
                </w:tcPr>
                <w:p w14:paraId="32E76D85" w14:textId="77777777" w:rsidR="005C7977" w:rsidRPr="00415A84" w:rsidRDefault="005C7977" w:rsidP="00766741">
                  <w:pPr>
                    <w:pStyle w:val="Naslovpredpisa"/>
                    <w:spacing w:before="0" w:after="0" w:line="260" w:lineRule="exact"/>
                    <w:rPr>
                      <w:rFonts w:eastAsia="Calibri" w:cs="Arial"/>
                      <w:b w:val="0"/>
                      <w:sz w:val="20"/>
                      <w:szCs w:val="20"/>
                      <w:lang w:val="sl-SI" w:eastAsia="en-US"/>
                    </w:rPr>
                  </w:pPr>
                </w:p>
              </w:tc>
            </w:tr>
            <w:tr w:rsidR="005C7977" w:rsidRPr="00415A84" w14:paraId="5E7D645B" w14:textId="77777777" w:rsidTr="00766741">
              <w:tc>
                <w:tcPr>
                  <w:tcW w:w="9213" w:type="dxa"/>
                </w:tcPr>
                <w:p w14:paraId="756C8028" w14:textId="77777777" w:rsidR="005C7977" w:rsidRPr="00DD0E22" w:rsidRDefault="005C7977" w:rsidP="00766741">
                  <w:pPr>
                    <w:pStyle w:val="Poglavje"/>
                    <w:spacing w:before="0" w:after="0" w:line="260" w:lineRule="exact"/>
                    <w:jc w:val="left"/>
                    <w:rPr>
                      <w:rFonts w:eastAsia="Calibri"/>
                      <w:sz w:val="20"/>
                      <w:szCs w:val="20"/>
                      <w:lang w:eastAsia="en-US"/>
                    </w:rPr>
                  </w:pPr>
                  <w:r w:rsidRPr="00DD0E22">
                    <w:rPr>
                      <w:rFonts w:eastAsia="Calibri"/>
                      <w:sz w:val="20"/>
                      <w:szCs w:val="20"/>
                      <w:lang w:eastAsia="en-US"/>
                    </w:rPr>
                    <w:t>I. UVOD</w:t>
                  </w:r>
                </w:p>
              </w:tc>
            </w:tr>
            <w:tr w:rsidR="005C7977" w:rsidRPr="00415A84" w14:paraId="7E6A987F" w14:textId="77777777" w:rsidTr="00766741">
              <w:tc>
                <w:tcPr>
                  <w:tcW w:w="9213" w:type="dxa"/>
                </w:tcPr>
                <w:p w14:paraId="0B7FF192" w14:textId="5848D05D" w:rsidR="005C7977" w:rsidRPr="00415A84" w:rsidRDefault="005C7977" w:rsidP="00766741">
                  <w:pPr>
                    <w:pStyle w:val="Oddelek"/>
                    <w:numPr>
                      <w:ilvl w:val="0"/>
                      <w:numId w:val="0"/>
                    </w:numPr>
                    <w:spacing w:before="0" w:after="0" w:line="260" w:lineRule="exact"/>
                    <w:jc w:val="left"/>
                    <w:rPr>
                      <w:rFonts w:eastAsia="Calibri" w:cs="Arial"/>
                      <w:b w:val="0"/>
                      <w:sz w:val="20"/>
                      <w:szCs w:val="20"/>
                      <w:lang w:val="sl-SI" w:eastAsia="en-US"/>
                    </w:rPr>
                  </w:pPr>
                  <w:r w:rsidRPr="00DD0E22">
                    <w:rPr>
                      <w:rFonts w:eastAsia="Calibri" w:cs="Arial"/>
                      <w:sz w:val="20"/>
                      <w:szCs w:val="20"/>
                      <w:lang w:val="sl-SI" w:eastAsia="en-US"/>
                    </w:rPr>
                    <w:t>1. OCENA STANJA IN RAZLOGI ZA SPREJEM PREDLOGA ZAKONA</w:t>
                  </w:r>
                </w:p>
                <w:p w14:paraId="6E5E0311" w14:textId="5C7C64D6" w:rsidR="005C7977" w:rsidRPr="00415A84" w:rsidRDefault="005C7977" w:rsidP="005C7977">
                  <w:pPr>
                    <w:pStyle w:val="ListParagraph"/>
                    <w:spacing w:line="276" w:lineRule="auto"/>
                    <w:ind w:left="0"/>
                    <w:contextualSpacing/>
                    <w:rPr>
                      <w:rFonts w:ascii="Arial" w:eastAsia="Calibri" w:hAnsi="Arial" w:cs="Arial"/>
                      <w:sz w:val="20"/>
                      <w:szCs w:val="20"/>
                      <w:lang w:eastAsia="en-US"/>
                    </w:rPr>
                  </w:pPr>
                  <w:bookmarkStart w:id="0" w:name="_GoBack"/>
                  <w:bookmarkEnd w:id="0"/>
                </w:p>
                <w:p w14:paraId="39DE0972" w14:textId="5033793B" w:rsidR="00A93267" w:rsidRPr="00FC4A4F" w:rsidRDefault="005C7977" w:rsidP="00C17D73">
                  <w:pPr>
                    <w:pStyle w:val="ListParagraph"/>
                    <w:spacing w:line="276" w:lineRule="auto"/>
                    <w:ind w:left="0"/>
                    <w:contextualSpacing/>
                    <w:jc w:val="both"/>
                    <w:rPr>
                      <w:rFonts w:ascii="Arial" w:eastAsia="Calibri" w:hAnsi="Arial" w:cs="Arial"/>
                      <w:sz w:val="20"/>
                      <w:szCs w:val="20"/>
                      <w:lang w:eastAsia="en-US"/>
                    </w:rPr>
                  </w:pPr>
                  <w:r w:rsidRPr="00FC4A4F">
                    <w:rPr>
                      <w:rFonts w:ascii="Arial" w:eastAsia="Calibri" w:hAnsi="Arial" w:cs="Arial"/>
                      <w:sz w:val="20"/>
                      <w:szCs w:val="20"/>
                      <w:lang w:eastAsia="en-US"/>
                    </w:rPr>
                    <w:t>Zakon o davku na tonažo (Uradni list RS, št. 61/07 z dne 10. 7. 2007)</w:t>
                  </w:r>
                  <w:r w:rsidR="00693EAF" w:rsidRPr="00FC4A4F">
                    <w:rPr>
                      <w:rFonts w:ascii="Arial" w:eastAsia="Calibri" w:hAnsi="Arial" w:cs="Arial"/>
                      <w:sz w:val="20"/>
                      <w:szCs w:val="20"/>
                      <w:lang w:eastAsia="en-US"/>
                    </w:rPr>
                    <w:t>, ki je bil</w:t>
                  </w:r>
                  <w:r w:rsidR="00A80CF4" w:rsidRPr="00FC4A4F">
                    <w:rPr>
                      <w:rFonts w:ascii="Arial" w:eastAsia="Calibri" w:hAnsi="Arial" w:cs="Arial"/>
                      <w:sz w:val="20"/>
                      <w:szCs w:val="20"/>
                      <w:lang w:eastAsia="en-US"/>
                    </w:rPr>
                    <w:t>,</w:t>
                  </w:r>
                  <w:r w:rsidR="00693EAF" w:rsidRPr="00FC4A4F">
                    <w:rPr>
                      <w:rFonts w:ascii="Arial" w:eastAsia="Calibri" w:hAnsi="Arial" w:cs="Arial"/>
                      <w:sz w:val="20"/>
                      <w:szCs w:val="20"/>
                      <w:lang w:eastAsia="en-US"/>
                    </w:rPr>
                    <w:t xml:space="preserve"> </w:t>
                  </w:r>
                  <w:r w:rsidR="00A80CF4" w:rsidRPr="00FC4A4F">
                    <w:rPr>
                      <w:rFonts w:ascii="Arial" w:eastAsia="Calibri" w:hAnsi="Arial" w:cs="Arial"/>
                      <w:sz w:val="20"/>
                      <w:szCs w:val="20"/>
                      <w:lang w:eastAsia="en-US"/>
                    </w:rPr>
                    <w:t xml:space="preserve">v letu 2009, </w:t>
                  </w:r>
                  <w:r w:rsidR="00693EAF" w:rsidRPr="00FC4A4F">
                    <w:rPr>
                      <w:rFonts w:ascii="Arial" w:eastAsia="Calibri" w:hAnsi="Arial" w:cs="Arial"/>
                      <w:sz w:val="20"/>
                      <w:szCs w:val="20"/>
                      <w:lang w:eastAsia="en-US"/>
                    </w:rPr>
                    <w:t>spremenjen in dopolnjen z Zakonom o spremembah in dopolnitvah Zakona o davku na tonažo – ZDTon-A (Uradni list RS, št. 85/09 z dne 30. 10. 2009)</w:t>
                  </w:r>
                  <w:r w:rsidRPr="00FC4A4F">
                    <w:rPr>
                      <w:rFonts w:ascii="Arial" w:eastAsia="Calibri" w:hAnsi="Arial" w:cs="Arial"/>
                      <w:sz w:val="20"/>
                      <w:szCs w:val="20"/>
                      <w:lang w:eastAsia="en-US"/>
                    </w:rPr>
                    <w:t xml:space="preserve"> </w:t>
                  </w:r>
                  <w:r w:rsidR="00A80CF4" w:rsidRPr="00FC4A4F">
                    <w:rPr>
                      <w:rFonts w:ascii="Arial" w:eastAsia="Calibri" w:hAnsi="Arial" w:cs="Arial"/>
                      <w:sz w:val="20"/>
                      <w:szCs w:val="20"/>
                      <w:lang w:eastAsia="en-US"/>
                    </w:rPr>
                    <w:t xml:space="preserve">je uvedel alternativno obliko </w:t>
                  </w:r>
                  <w:r w:rsidR="00DC2185" w:rsidRPr="00FC4A4F">
                    <w:rPr>
                      <w:rFonts w:ascii="Arial" w:eastAsia="Calibri" w:hAnsi="Arial" w:cs="Arial"/>
                      <w:sz w:val="20"/>
                      <w:szCs w:val="20"/>
                      <w:lang w:eastAsia="en-US"/>
                    </w:rPr>
                    <w:t>določanja</w:t>
                  </w:r>
                  <w:r w:rsidR="00A80CF4" w:rsidRPr="00FC4A4F">
                    <w:rPr>
                      <w:rFonts w:ascii="Arial" w:eastAsia="Calibri" w:hAnsi="Arial" w:cs="Arial"/>
                      <w:sz w:val="20"/>
                      <w:szCs w:val="20"/>
                      <w:lang w:eastAsia="en-US"/>
                    </w:rPr>
                    <w:t xml:space="preserve"> davčne osnove za plačilo davka od dohodkov pravnih oseb.</w:t>
                  </w:r>
                  <w:r w:rsidR="00A93267" w:rsidRPr="00FC4A4F">
                    <w:rPr>
                      <w:rFonts w:ascii="Arial" w:eastAsia="Calibri" w:hAnsi="Arial" w:cs="Arial"/>
                      <w:sz w:val="20"/>
                      <w:szCs w:val="20"/>
                      <w:lang w:eastAsia="en-US"/>
                    </w:rPr>
                    <w:t xml:space="preserve"> Slednje pomeni, da pravne osebe, ki  poslujejo z ladjami v mednarodni plovbi</w:t>
                  </w:r>
                  <w:r w:rsidR="00E22A59" w:rsidRPr="00FC4A4F">
                    <w:rPr>
                      <w:rFonts w:ascii="Arial" w:eastAsia="Calibri" w:hAnsi="Arial" w:cs="Arial"/>
                      <w:sz w:val="20"/>
                      <w:szCs w:val="20"/>
                      <w:lang w:eastAsia="en-US"/>
                    </w:rPr>
                    <w:t>,</w:t>
                  </w:r>
                  <w:r w:rsidR="00A93267" w:rsidRPr="00FC4A4F">
                    <w:rPr>
                      <w:rFonts w:ascii="Arial" w:eastAsia="Calibri" w:hAnsi="Arial" w:cs="Arial"/>
                      <w:sz w:val="20"/>
                      <w:szCs w:val="20"/>
                      <w:lang w:eastAsia="en-US"/>
                    </w:rPr>
                    <w:t xml:space="preserve"> lahko izbirajo ali bodo plačale davek pavšalno</w:t>
                  </w:r>
                  <w:r w:rsidR="00504322" w:rsidRPr="00FC4A4F">
                    <w:rPr>
                      <w:rFonts w:ascii="Arial" w:eastAsia="Calibri" w:hAnsi="Arial" w:cs="Arial"/>
                      <w:sz w:val="20"/>
                      <w:szCs w:val="20"/>
                      <w:lang w:eastAsia="en-US"/>
                    </w:rPr>
                    <w:t xml:space="preserve"> po shemi državne pomoči</w:t>
                  </w:r>
                  <w:r w:rsidR="00A93267" w:rsidRPr="00FC4A4F">
                    <w:rPr>
                      <w:rFonts w:ascii="Arial" w:eastAsia="Calibri" w:hAnsi="Arial" w:cs="Arial"/>
                      <w:sz w:val="20"/>
                      <w:szCs w:val="20"/>
                      <w:lang w:eastAsia="en-US"/>
                    </w:rPr>
                    <w:t xml:space="preserve"> </w:t>
                  </w:r>
                  <w:r w:rsidR="00504322" w:rsidRPr="00FC4A4F">
                    <w:rPr>
                      <w:rFonts w:ascii="Arial" w:eastAsia="Calibri" w:hAnsi="Arial" w:cs="Arial"/>
                      <w:sz w:val="20"/>
                      <w:szCs w:val="20"/>
                      <w:lang w:eastAsia="en-US"/>
                    </w:rPr>
                    <w:t xml:space="preserve">davka na tonažo </w:t>
                  </w:r>
                  <w:r w:rsidR="00A93267" w:rsidRPr="00FC4A4F">
                    <w:rPr>
                      <w:rFonts w:ascii="Arial" w:eastAsia="Calibri" w:hAnsi="Arial" w:cs="Arial"/>
                      <w:sz w:val="20"/>
                      <w:szCs w:val="20"/>
                      <w:lang w:eastAsia="en-US"/>
                    </w:rPr>
                    <w:t xml:space="preserve">v odvisnosti od neto tonaže ladje in števila dni poslovanja te ladje ali pa bodo plačevale davek od dohodkov pravnih oseb, ki temelji na določanju </w:t>
                  </w:r>
                  <w:r w:rsidR="00504322" w:rsidRPr="00FC4A4F">
                    <w:rPr>
                      <w:rFonts w:ascii="Arial" w:eastAsia="Calibri" w:hAnsi="Arial" w:cs="Arial"/>
                      <w:sz w:val="20"/>
                      <w:szCs w:val="20"/>
                      <w:lang w:eastAsia="en-US"/>
                    </w:rPr>
                    <w:t xml:space="preserve">davčno priznanih </w:t>
                  </w:r>
                  <w:r w:rsidR="00A93267" w:rsidRPr="00FC4A4F">
                    <w:rPr>
                      <w:rFonts w:ascii="Arial" w:eastAsia="Calibri" w:hAnsi="Arial" w:cs="Arial"/>
                      <w:sz w:val="20"/>
                      <w:szCs w:val="20"/>
                      <w:lang w:eastAsia="en-US"/>
                    </w:rPr>
                    <w:t>prihodkov in odhodkov</w:t>
                  </w:r>
                  <w:r w:rsidR="00504322" w:rsidRPr="00FC4A4F">
                    <w:rPr>
                      <w:rFonts w:ascii="Arial" w:eastAsia="Calibri" w:hAnsi="Arial" w:cs="Arial"/>
                      <w:sz w:val="20"/>
                      <w:szCs w:val="20"/>
                      <w:lang w:eastAsia="en-US"/>
                    </w:rPr>
                    <w:t xml:space="preserve"> </w:t>
                  </w:r>
                  <w:r w:rsidR="001B0A6D" w:rsidRPr="00FC4A4F">
                    <w:rPr>
                      <w:rFonts w:ascii="Arial" w:eastAsia="Calibri" w:hAnsi="Arial" w:cs="Arial"/>
                      <w:sz w:val="20"/>
                      <w:szCs w:val="20"/>
                      <w:lang w:eastAsia="en-US"/>
                    </w:rPr>
                    <w:t xml:space="preserve">ob upoštevanju pravil </w:t>
                  </w:r>
                  <w:proofErr w:type="spellStart"/>
                  <w:r w:rsidR="001B0A6D" w:rsidRPr="00FC4A4F">
                    <w:rPr>
                      <w:rFonts w:ascii="Arial" w:eastAsia="Calibri" w:hAnsi="Arial" w:cs="Arial"/>
                      <w:sz w:val="20"/>
                      <w:szCs w:val="20"/>
                      <w:lang w:eastAsia="en-US"/>
                    </w:rPr>
                    <w:t>računovodenja</w:t>
                  </w:r>
                  <w:proofErr w:type="spellEnd"/>
                  <w:r w:rsidR="00A93267" w:rsidRPr="00FC4A4F">
                    <w:rPr>
                      <w:rFonts w:ascii="Arial" w:eastAsia="Calibri" w:hAnsi="Arial" w:cs="Arial"/>
                      <w:sz w:val="20"/>
                      <w:szCs w:val="20"/>
                      <w:lang w:eastAsia="en-US"/>
                    </w:rPr>
                    <w:t>.</w:t>
                  </w:r>
                </w:p>
                <w:p w14:paraId="7933D5BD" w14:textId="77777777" w:rsidR="00A93267" w:rsidRPr="00FC4A4F" w:rsidRDefault="00A93267" w:rsidP="00C17D73">
                  <w:pPr>
                    <w:pStyle w:val="ListParagraph"/>
                    <w:spacing w:line="276" w:lineRule="auto"/>
                    <w:ind w:left="0"/>
                    <w:contextualSpacing/>
                    <w:jc w:val="both"/>
                    <w:rPr>
                      <w:rFonts w:ascii="Arial" w:eastAsia="Calibri" w:hAnsi="Arial" w:cs="Arial"/>
                      <w:sz w:val="20"/>
                      <w:szCs w:val="20"/>
                      <w:lang w:eastAsia="en-US"/>
                    </w:rPr>
                  </w:pPr>
                </w:p>
                <w:p w14:paraId="140D726E" w14:textId="39691713" w:rsidR="00A93267" w:rsidRPr="00FC4A4F" w:rsidRDefault="00A93267" w:rsidP="00C17D73">
                  <w:pPr>
                    <w:pStyle w:val="ListParagraph"/>
                    <w:spacing w:line="276" w:lineRule="auto"/>
                    <w:ind w:left="0"/>
                    <w:contextualSpacing/>
                    <w:jc w:val="both"/>
                    <w:rPr>
                      <w:rFonts w:ascii="Arial" w:eastAsia="Calibri" w:hAnsi="Arial" w:cs="Arial"/>
                      <w:sz w:val="20"/>
                      <w:szCs w:val="20"/>
                      <w:lang w:eastAsia="en-US"/>
                    </w:rPr>
                  </w:pPr>
                  <w:r w:rsidRPr="00FC4A4F">
                    <w:rPr>
                      <w:rFonts w:ascii="Arial" w:eastAsia="Calibri" w:hAnsi="Arial" w:cs="Arial"/>
                      <w:sz w:val="20"/>
                      <w:szCs w:val="20"/>
                      <w:lang w:eastAsia="en-US"/>
                    </w:rPr>
                    <w:t xml:space="preserve">Zakon o davku na tonažo </w:t>
                  </w:r>
                  <w:r w:rsidR="00305876" w:rsidRPr="00305876">
                    <w:rPr>
                      <w:rFonts w:ascii="Arial" w:eastAsia="Calibri" w:hAnsi="Arial" w:cs="Arial"/>
                      <w:sz w:val="20"/>
                      <w:szCs w:val="20"/>
                      <w:lang w:eastAsia="en-US"/>
                    </w:rPr>
                    <w:t>(uradno prečiščeno besedilo – ZDTon-UPB1 (Uradni list RS, št. 97/09 z dne 30. 11. 2009)</w:t>
                  </w:r>
                  <w:r w:rsidR="00305876">
                    <w:rPr>
                      <w:rFonts w:ascii="Arial" w:eastAsia="Calibri" w:hAnsi="Arial" w:cs="Arial"/>
                      <w:sz w:val="20"/>
                      <w:szCs w:val="20"/>
                      <w:lang w:eastAsia="en-US"/>
                    </w:rPr>
                    <w:t xml:space="preserve">) </w:t>
                  </w:r>
                  <w:r w:rsidRPr="00FC4A4F">
                    <w:rPr>
                      <w:rFonts w:ascii="Arial" w:eastAsia="Calibri" w:hAnsi="Arial" w:cs="Arial"/>
                      <w:sz w:val="20"/>
                      <w:szCs w:val="20"/>
                      <w:lang w:eastAsia="en-US"/>
                    </w:rPr>
                    <w:t xml:space="preserve">predstavlja shemo državne pomoči, ki je bila Evropski komisiji priglašena </w:t>
                  </w:r>
                  <w:r w:rsidR="00C17D73" w:rsidRPr="00FC4A4F">
                    <w:rPr>
                      <w:rFonts w:ascii="Arial" w:eastAsia="Calibri" w:hAnsi="Arial" w:cs="Arial"/>
                      <w:sz w:val="20"/>
                      <w:szCs w:val="20"/>
                      <w:lang w:eastAsia="en-US"/>
                    </w:rPr>
                    <w:t>v letu</w:t>
                  </w:r>
                  <w:r w:rsidRPr="00FC4A4F">
                    <w:rPr>
                      <w:rFonts w:ascii="Arial" w:eastAsia="Calibri" w:hAnsi="Arial" w:cs="Arial"/>
                      <w:sz w:val="20"/>
                      <w:szCs w:val="20"/>
                      <w:lang w:eastAsia="en-US"/>
                    </w:rPr>
                    <w:t xml:space="preserve"> 2007. Evropska komisija je shemo davka na tonažo (Državna pomoč – št. </w:t>
                  </w:r>
                  <w:r w:rsidR="00A93B19">
                    <w:rPr>
                      <w:rFonts w:ascii="Arial" w:eastAsia="Calibri" w:hAnsi="Arial" w:cs="Arial"/>
                      <w:sz w:val="20"/>
                      <w:szCs w:val="20"/>
                      <w:lang w:eastAsia="en-US"/>
                    </w:rPr>
                    <w:t>N</w:t>
                  </w:r>
                  <w:r w:rsidRPr="00FC4A4F">
                    <w:rPr>
                      <w:rFonts w:ascii="Arial" w:eastAsia="Calibri" w:hAnsi="Arial" w:cs="Arial"/>
                      <w:sz w:val="20"/>
                      <w:szCs w:val="20"/>
                      <w:lang w:eastAsia="en-US"/>
                    </w:rPr>
                    <w:t>325/2007 – Slovenija in Državna pomoč N188/2010 – Slovenija) odobrila na podlagi Smernic Skupnosti o državnih pomočeh</w:t>
                  </w:r>
                  <w:r w:rsidR="00A93B19">
                    <w:rPr>
                      <w:rFonts w:ascii="Arial" w:eastAsia="Calibri" w:hAnsi="Arial" w:cs="Arial"/>
                      <w:sz w:val="20"/>
                      <w:szCs w:val="20"/>
                      <w:lang w:eastAsia="en-US"/>
                    </w:rPr>
                    <w:t xml:space="preserve"> za pomorski promet (</w:t>
                  </w:r>
                  <w:proofErr w:type="spellStart"/>
                  <w:r w:rsidR="00A93B19">
                    <w:rPr>
                      <w:rFonts w:ascii="Arial" w:eastAsia="Calibri" w:hAnsi="Arial" w:cs="Arial"/>
                      <w:sz w:val="20"/>
                      <w:szCs w:val="20"/>
                      <w:lang w:eastAsia="en-US"/>
                    </w:rPr>
                    <w:t>Community</w:t>
                  </w:r>
                  <w:proofErr w:type="spellEnd"/>
                  <w:r w:rsidR="00A93B19">
                    <w:rPr>
                      <w:rFonts w:ascii="Arial" w:eastAsia="Calibri" w:hAnsi="Arial" w:cs="Arial"/>
                      <w:sz w:val="20"/>
                      <w:szCs w:val="20"/>
                      <w:lang w:eastAsia="en-US"/>
                    </w:rPr>
                    <w:t xml:space="preserve"> </w:t>
                  </w:r>
                  <w:proofErr w:type="spellStart"/>
                  <w:r w:rsidR="00A93B19">
                    <w:rPr>
                      <w:rFonts w:ascii="Arial" w:eastAsia="Calibri" w:hAnsi="Arial" w:cs="Arial"/>
                      <w:sz w:val="20"/>
                      <w:szCs w:val="20"/>
                      <w:lang w:eastAsia="en-US"/>
                    </w:rPr>
                    <w:t>G</w:t>
                  </w:r>
                  <w:r w:rsidRPr="00FC4A4F">
                    <w:rPr>
                      <w:rFonts w:ascii="Arial" w:eastAsia="Calibri" w:hAnsi="Arial" w:cs="Arial"/>
                      <w:sz w:val="20"/>
                      <w:szCs w:val="20"/>
                      <w:lang w:eastAsia="en-US"/>
                    </w:rPr>
                    <w:t>uidelines</w:t>
                  </w:r>
                  <w:proofErr w:type="spellEnd"/>
                  <w:r w:rsidRPr="00FC4A4F">
                    <w:rPr>
                      <w:rFonts w:ascii="Arial" w:eastAsia="Calibri" w:hAnsi="Arial" w:cs="Arial"/>
                      <w:sz w:val="20"/>
                      <w:szCs w:val="20"/>
                      <w:lang w:eastAsia="en-US"/>
                    </w:rPr>
                    <w:t xml:space="preserve"> on </w:t>
                  </w:r>
                  <w:proofErr w:type="spellStart"/>
                  <w:r w:rsidRPr="00FC4A4F">
                    <w:rPr>
                      <w:rFonts w:ascii="Arial" w:eastAsia="Calibri" w:hAnsi="Arial" w:cs="Arial"/>
                      <w:sz w:val="20"/>
                      <w:szCs w:val="20"/>
                      <w:lang w:eastAsia="en-US"/>
                    </w:rPr>
                    <w:t>State</w:t>
                  </w:r>
                  <w:proofErr w:type="spellEnd"/>
                  <w:r w:rsidRPr="00FC4A4F">
                    <w:rPr>
                      <w:rFonts w:ascii="Arial" w:eastAsia="Calibri" w:hAnsi="Arial" w:cs="Arial"/>
                      <w:sz w:val="20"/>
                      <w:szCs w:val="20"/>
                      <w:lang w:eastAsia="en-US"/>
                    </w:rPr>
                    <w:t xml:space="preserve"> </w:t>
                  </w:r>
                  <w:proofErr w:type="spellStart"/>
                  <w:r w:rsidR="00A93B19">
                    <w:rPr>
                      <w:rFonts w:ascii="Arial" w:eastAsia="Calibri" w:hAnsi="Arial" w:cs="Arial"/>
                      <w:sz w:val="20"/>
                      <w:szCs w:val="20"/>
                      <w:lang w:eastAsia="en-US"/>
                    </w:rPr>
                    <w:t>Aid</w:t>
                  </w:r>
                  <w:proofErr w:type="spellEnd"/>
                  <w:r w:rsidR="00A93B19">
                    <w:rPr>
                      <w:rFonts w:ascii="Arial" w:eastAsia="Calibri" w:hAnsi="Arial" w:cs="Arial"/>
                      <w:sz w:val="20"/>
                      <w:szCs w:val="20"/>
                      <w:lang w:eastAsia="en-US"/>
                    </w:rPr>
                    <w:t xml:space="preserve"> to </w:t>
                  </w:r>
                  <w:proofErr w:type="spellStart"/>
                  <w:r w:rsidR="00A93B19">
                    <w:rPr>
                      <w:rFonts w:ascii="Arial" w:eastAsia="Calibri" w:hAnsi="Arial" w:cs="Arial"/>
                      <w:sz w:val="20"/>
                      <w:szCs w:val="20"/>
                      <w:lang w:eastAsia="en-US"/>
                    </w:rPr>
                    <w:t>Maritime</w:t>
                  </w:r>
                  <w:proofErr w:type="spellEnd"/>
                  <w:r w:rsidR="00A93B19">
                    <w:rPr>
                      <w:rFonts w:ascii="Arial" w:eastAsia="Calibri" w:hAnsi="Arial" w:cs="Arial"/>
                      <w:sz w:val="20"/>
                      <w:szCs w:val="20"/>
                      <w:lang w:eastAsia="en-US"/>
                    </w:rPr>
                    <w:t xml:space="preserve"> T</w:t>
                  </w:r>
                  <w:r w:rsidRPr="00FC4A4F">
                    <w:rPr>
                      <w:rFonts w:ascii="Arial" w:eastAsia="Calibri" w:hAnsi="Arial" w:cs="Arial"/>
                      <w:sz w:val="20"/>
                      <w:szCs w:val="20"/>
                      <w:lang w:eastAsia="en-US"/>
                    </w:rPr>
                    <w:t>ransport (2004/C13/03)),</w:t>
                  </w:r>
                  <w:r w:rsidR="00C17D73" w:rsidRPr="00FC4A4F">
                    <w:rPr>
                      <w:rFonts w:ascii="Arial" w:eastAsia="Calibri" w:hAnsi="Arial" w:cs="Arial"/>
                      <w:sz w:val="20"/>
                      <w:szCs w:val="20"/>
                      <w:lang w:eastAsia="en-US"/>
                    </w:rPr>
                    <w:t xml:space="preserve"> </w:t>
                  </w:r>
                  <w:r w:rsidRPr="00FC4A4F">
                    <w:rPr>
                      <w:rFonts w:ascii="Arial" w:eastAsia="Calibri" w:hAnsi="Arial" w:cs="Arial"/>
                      <w:sz w:val="20"/>
                      <w:szCs w:val="20"/>
                      <w:lang w:eastAsia="en-US"/>
                    </w:rPr>
                    <w:t>za obdobje desetih let, in sicer za obdobje od 1. januarja 2008 dalje</w:t>
                  </w:r>
                  <w:r w:rsidR="00C17D73" w:rsidRPr="00FC4A4F">
                    <w:rPr>
                      <w:rFonts w:ascii="Arial" w:eastAsia="Calibri" w:hAnsi="Arial" w:cs="Arial"/>
                      <w:sz w:val="20"/>
                      <w:szCs w:val="20"/>
                      <w:lang w:eastAsia="en-US"/>
                    </w:rPr>
                    <w:t>.</w:t>
                  </w:r>
                </w:p>
                <w:p w14:paraId="68838E25" w14:textId="77777777" w:rsidR="00A80CF4" w:rsidRPr="00FC4A4F" w:rsidRDefault="00A80CF4" w:rsidP="00C17D73">
                  <w:pPr>
                    <w:pStyle w:val="ListParagraph"/>
                    <w:spacing w:line="276" w:lineRule="auto"/>
                    <w:ind w:left="0"/>
                    <w:contextualSpacing/>
                    <w:jc w:val="both"/>
                    <w:rPr>
                      <w:rFonts w:ascii="Arial" w:eastAsia="Calibri" w:hAnsi="Arial" w:cs="Arial"/>
                      <w:sz w:val="20"/>
                      <w:szCs w:val="20"/>
                      <w:lang w:eastAsia="en-US"/>
                    </w:rPr>
                  </w:pPr>
                </w:p>
                <w:p w14:paraId="238247F1" w14:textId="19D7369A" w:rsidR="00FB0F1E" w:rsidRPr="00FC4A4F" w:rsidRDefault="00DC2185" w:rsidP="00DC2185">
                  <w:pPr>
                    <w:pStyle w:val="NoSpacing"/>
                    <w:spacing w:line="276" w:lineRule="auto"/>
                    <w:jc w:val="both"/>
                    <w:rPr>
                      <w:rFonts w:ascii="Arial" w:eastAsia="Calibri" w:hAnsi="Arial" w:cs="Arial"/>
                      <w:kern w:val="0"/>
                      <w:sz w:val="20"/>
                      <w:szCs w:val="20"/>
                    </w:rPr>
                  </w:pPr>
                  <w:r w:rsidRPr="00FC4A4F">
                    <w:rPr>
                      <w:rFonts w:ascii="Arial" w:eastAsia="Calibri" w:hAnsi="Arial" w:cs="Arial"/>
                      <w:kern w:val="0"/>
                      <w:sz w:val="20"/>
                      <w:szCs w:val="20"/>
                    </w:rPr>
                    <w:t>Pomorsko gospodarstvo je zelo mobiln</w:t>
                  </w:r>
                  <w:r w:rsidR="00FB0F1E" w:rsidRPr="00FC4A4F">
                    <w:rPr>
                      <w:rFonts w:ascii="Arial" w:eastAsia="Calibri" w:hAnsi="Arial" w:cs="Arial"/>
                      <w:kern w:val="0"/>
                      <w:sz w:val="20"/>
                      <w:szCs w:val="20"/>
                    </w:rPr>
                    <w:t>a gospodarska panoga</w:t>
                  </w:r>
                  <w:r w:rsidRPr="00FC4A4F">
                    <w:rPr>
                      <w:rFonts w:ascii="Arial" w:eastAsia="Calibri" w:hAnsi="Arial" w:cs="Arial"/>
                      <w:kern w:val="0"/>
                      <w:sz w:val="20"/>
                      <w:szCs w:val="20"/>
                    </w:rPr>
                    <w:t>. V zelo kratkem času je sposobn</w:t>
                  </w:r>
                  <w:r w:rsidR="00FB0F1E" w:rsidRPr="00FC4A4F">
                    <w:rPr>
                      <w:rFonts w:ascii="Arial" w:eastAsia="Calibri" w:hAnsi="Arial" w:cs="Arial"/>
                      <w:kern w:val="0"/>
                      <w:sz w:val="20"/>
                      <w:szCs w:val="20"/>
                    </w:rPr>
                    <w:t>a</w:t>
                  </w:r>
                  <w:r w:rsidRPr="00FC4A4F">
                    <w:rPr>
                      <w:rFonts w:ascii="Arial" w:eastAsia="Calibri" w:hAnsi="Arial" w:cs="Arial"/>
                      <w:kern w:val="0"/>
                      <w:sz w:val="20"/>
                      <w:szCs w:val="20"/>
                    </w:rPr>
                    <w:t xml:space="preserve"> ladje registrirati v državah zastav ugodnosti (</w:t>
                  </w:r>
                  <w:proofErr w:type="spellStart"/>
                  <w:r w:rsidRPr="00FC4A4F">
                    <w:rPr>
                      <w:rFonts w:ascii="Arial" w:eastAsia="Calibri" w:hAnsi="Arial" w:cs="Arial"/>
                      <w:kern w:val="0"/>
                      <w:sz w:val="20"/>
                      <w:szCs w:val="20"/>
                    </w:rPr>
                    <w:t>Flag</w:t>
                  </w:r>
                  <w:proofErr w:type="spellEnd"/>
                  <w:r w:rsidRPr="00FC4A4F">
                    <w:rPr>
                      <w:rFonts w:ascii="Arial" w:eastAsia="Calibri" w:hAnsi="Arial" w:cs="Arial"/>
                      <w:kern w:val="0"/>
                      <w:sz w:val="20"/>
                      <w:szCs w:val="20"/>
                    </w:rPr>
                    <w:t xml:space="preserve"> </w:t>
                  </w:r>
                  <w:proofErr w:type="spellStart"/>
                  <w:r w:rsidRPr="00FC4A4F">
                    <w:rPr>
                      <w:rFonts w:ascii="Arial" w:eastAsia="Calibri" w:hAnsi="Arial" w:cs="Arial"/>
                      <w:kern w:val="0"/>
                      <w:sz w:val="20"/>
                      <w:szCs w:val="20"/>
                    </w:rPr>
                    <w:t>of</w:t>
                  </w:r>
                  <w:proofErr w:type="spellEnd"/>
                  <w:r w:rsidRPr="00FC4A4F">
                    <w:rPr>
                      <w:rFonts w:ascii="Arial" w:eastAsia="Calibri" w:hAnsi="Arial" w:cs="Arial"/>
                      <w:kern w:val="0"/>
                      <w:sz w:val="20"/>
                      <w:szCs w:val="20"/>
                    </w:rPr>
                    <w:t xml:space="preserve"> </w:t>
                  </w:r>
                  <w:proofErr w:type="spellStart"/>
                  <w:r w:rsidRPr="00FC4A4F">
                    <w:rPr>
                      <w:rFonts w:ascii="Arial" w:eastAsia="Calibri" w:hAnsi="Arial" w:cs="Arial"/>
                      <w:kern w:val="0"/>
                      <w:sz w:val="20"/>
                      <w:szCs w:val="20"/>
                    </w:rPr>
                    <w:t>Convenience</w:t>
                  </w:r>
                  <w:proofErr w:type="spellEnd"/>
                  <w:r w:rsidRPr="00FC4A4F">
                    <w:rPr>
                      <w:rFonts w:ascii="Arial" w:eastAsia="Calibri" w:hAnsi="Arial" w:cs="Arial"/>
                      <w:kern w:val="0"/>
                      <w:sz w:val="20"/>
                      <w:szCs w:val="20"/>
                    </w:rPr>
                    <w:t xml:space="preserve">) ter prenesti sedeže podjetij v te države. Na trgu dela je velika ponudba pomorščakov iz tretjih držav, ki omogoča ladjarjem zaposlitev cenene delovne sile in s tem nižje stroške poslovanja. </w:t>
                  </w:r>
                </w:p>
                <w:p w14:paraId="48EB2C02" w14:textId="77777777" w:rsidR="00FB0F1E" w:rsidRPr="00FC4A4F" w:rsidRDefault="00FB0F1E" w:rsidP="00DC2185">
                  <w:pPr>
                    <w:pStyle w:val="NoSpacing"/>
                    <w:spacing w:line="276" w:lineRule="auto"/>
                    <w:jc w:val="both"/>
                    <w:rPr>
                      <w:rFonts w:ascii="Arial" w:eastAsia="Calibri" w:hAnsi="Arial" w:cs="Arial"/>
                      <w:kern w:val="0"/>
                      <w:sz w:val="20"/>
                      <w:szCs w:val="20"/>
                    </w:rPr>
                  </w:pPr>
                </w:p>
                <w:p w14:paraId="7B837605" w14:textId="7553A731" w:rsidR="005E7C9E" w:rsidRPr="00FC4A4F" w:rsidRDefault="00DD0E22" w:rsidP="00DC2185">
                  <w:pPr>
                    <w:pStyle w:val="NoSpacing"/>
                    <w:spacing w:line="276" w:lineRule="auto"/>
                    <w:jc w:val="both"/>
                    <w:rPr>
                      <w:rFonts w:ascii="Arial" w:eastAsia="Calibri" w:hAnsi="Arial" w:cs="Arial"/>
                      <w:kern w:val="0"/>
                      <w:sz w:val="20"/>
                      <w:szCs w:val="20"/>
                    </w:rPr>
                  </w:pPr>
                  <w:r w:rsidRPr="00FC4A4F">
                    <w:rPr>
                      <w:rFonts w:ascii="Arial" w:eastAsia="Calibri" w:hAnsi="Arial" w:cs="Arial"/>
                      <w:kern w:val="0"/>
                      <w:sz w:val="20"/>
                      <w:szCs w:val="20"/>
                    </w:rPr>
                    <w:t>C</w:t>
                  </w:r>
                  <w:r w:rsidR="005E7C9E" w:rsidRPr="00FC4A4F">
                    <w:rPr>
                      <w:rFonts w:ascii="Arial" w:eastAsia="Calibri" w:hAnsi="Arial" w:cs="Arial"/>
                      <w:kern w:val="0"/>
                      <w:sz w:val="20"/>
                      <w:szCs w:val="20"/>
                    </w:rPr>
                    <w:t xml:space="preserve">ilji </w:t>
                  </w:r>
                  <w:r w:rsidR="00FB0F1E" w:rsidRPr="00FC4A4F">
                    <w:rPr>
                      <w:rFonts w:ascii="Arial" w:eastAsia="Calibri" w:hAnsi="Arial" w:cs="Arial"/>
                      <w:kern w:val="0"/>
                      <w:sz w:val="20"/>
                      <w:szCs w:val="20"/>
                    </w:rPr>
                    <w:t xml:space="preserve">državne pomoči </w:t>
                  </w:r>
                  <w:r w:rsidR="005E7C9E" w:rsidRPr="00FC4A4F">
                    <w:rPr>
                      <w:rFonts w:ascii="Arial" w:eastAsia="Calibri" w:hAnsi="Arial" w:cs="Arial"/>
                      <w:kern w:val="0"/>
                      <w:sz w:val="20"/>
                      <w:szCs w:val="20"/>
                    </w:rPr>
                    <w:t>davka na tonažo, kot enega od instrumentov, s katerim želi E</w:t>
                  </w:r>
                  <w:r w:rsidR="00CF3DBE" w:rsidRPr="00FC4A4F">
                    <w:rPr>
                      <w:rFonts w:ascii="Arial" w:eastAsia="Calibri" w:hAnsi="Arial" w:cs="Arial"/>
                      <w:kern w:val="0"/>
                      <w:sz w:val="20"/>
                      <w:szCs w:val="20"/>
                    </w:rPr>
                    <w:t xml:space="preserve">vropska </w:t>
                  </w:r>
                  <w:r w:rsidR="00DF713A">
                    <w:rPr>
                      <w:rFonts w:ascii="Arial" w:eastAsia="Calibri" w:hAnsi="Arial" w:cs="Arial"/>
                      <w:kern w:val="0"/>
                      <w:sz w:val="20"/>
                      <w:szCs w:val="20"/>
                    </w:rPr>
                    <w:t>u</w:t>
                  </w:r>
                  <w:r w:rsidR="00CF3DBE" w:rsidRPr="00FC4A4F">
                    <w:rPr>
                      <w:rFonts w:ascii="Arial" w:eastAsia="Calibri" w:hAnsi="Arial" w:cs="Arial"/>
                      <w:kern w:val="0"/>
                      <w:sz w:val="20"/>
                      <w:szCs w:val="20"/>
                    </w:rPr>
                    <w:t>nija</w:t>
                  </w:r>
                  <w:r w:rsidR="005E7C9E" w:rsidRPr="00FC4A4F">
                    <w:rPr>
                      <w:rFonts w:ascii="Arial" w:eastAsia="Calibri" w:hAnsi="Arial" w:cs="Arial"/>
                      <w:kern w:val="0"/>
                      <w:sz w:val="20"/>
                      <w:szCs w:val="20"/>
                    </w:rPr>
                    <w:t xml:space="preserve"> spodbujati razvoj ladijskega gospodarstva in s tem evropskim ladjarjem omogočiti bolj konkurenčen položaj je:</w:t>
                  </w:r>
                </w:p>
                <w:p w14:paraId="7D538896" w14:textId="77777777" w:rsidR="005E7C9E" w:rsidRPr="00FC4A4F" w:rsidRDefault="005E7C9E" w:rsidP="005E7C9E">
                  <w:pPr>
                    <w:pStyle w:val="NoSpacing"/>
                    <w:numPr>
                      <w:ilvl w:val="0"/>
                      <w:numId w:val="40"/>
                    </w:numPr>
                    <w:spacing w:line="276" w:lineRule="auto"/>
                    <w:rPr>
                      <w:rFonts w:ascii="Arial" w:eastAsia="Calibri" w:hAnsi="Arial" w:cs="Arial"/>
                      <w:kern w:val="0"/>
                      <w:sz w:val="20"/>
                      <w:szCs w:val="20"/>
                    </w:rPr>
                  </w:pPr>
                  <w:r w:rsidRPr="00FC4A4F">
                    <w:rPr>
                      <w:rFonts w:ascii="Arial" w:eastAsia="Calibri" w:hAnsi="Arial" w:cs="Arial"/>
                      <w:kern w:val="0"/>
                      <w:sz w:val="20"/>
                      <w:szCs w:val="20"/>
                    </w:rPr>
                    <w:t>spodbujati varen, učinkovit in okolju prijazen pomorski promet,</w:t>
                  </w:r>
                </w:p>
                <w:p w14:paraId="08ABDC8E" w14:textId="77777777" w:rsidR="005E7C9E" w:rsidRPr="00FC4A4F" w:rsidRDefault="005E7C9E" w:rsidP="005E7C9E">
                  <w:pPr>
                    <w:pStyle w:val="NoSpacing"/>
                    <w:numPr>
                      <w:ilvl w:val="0"/>
                      <w:numId w:val="40"/>
                    </w:numPr>
                    <w:spacing w:line="276" w:lineRule="auto"/>
                    <w:rPr>
                      <w:rFonts w:ascii="Arial" w:eastAsia="Calibri" w:hAnsi="Arial" w:cs="Arial"/>
                      <w:kern w:val="0"/>
                      <w:sz w:val="20"/>
                      <w:szCs w:val="20"/>
                    </w:rPr>
                  </w:pPr>
                  <w:r w:rsidRPr="00FC4A4F">
                    <w:rPr>
                      <w:rFonts w:ascii="Arial" w:eastAsia="Calibri" w:hAnsi="Arial" w:cs="Arial"/>
                      <w:kern w:val="0"/>
                      <w:sz w:val="20"/>
                      <w:szCs w:val="20"/>
                    </w:rPr>
                    <w:t>spodbujati ponovni vpis ladij v vpisnike držav članic,</w:t>
                  </w:r>
                </w:p>
                <w:p w14:paraId="38F47EEC" w14:textId="77777777" w:rsidR="005E7C9E" w:rsidRPr="00FC4A4F" w:rsidRDefault="005E7C9E" w:rsidP="005E7C9E">
                  <w:pPr>
                    <w:pStyle w:val="NoSpacing"/>
                    <w:numPr>
                      <w:ilvl w:val="0"/>
                      <w:numId w:val="40"/>
                    </w:numPr>
                    <w:spacing w:line="276" w:lineRule="auto"/>
                    <w:jc w:val="both"/>
                    <w:rPr>
                      <w:rFonts w:ascii="Arial" w:eastAsia="Calibri" w:hAnsi="Arial" w:cs="Arial"/>
                      <w:kern w:val="0"/>
                      <w:sz w:val="20"/>
                      <w:szCs w:val="20"/>
                    </w:rPr>
                  </w:pPr>
                  <w:r w:rsidRPr="00FC4A4F">
                    <w:rPr>
                      <w:rFonts w:ascii="Arial" w:eastAsia="Calibri" w:hAnsi="Arial" w:cs="Arial"/>
                      <w:kern w:val="0"/>
                      <w:sz w:val="20"/>
                      <w:szCs w:val="20"/>
                    </w:rPr>
                    <w:t>prispevati k povezovanju pomorskega gospodarstva v državah članicah in hkrati ohraniti splošno konkurenčnost ladjevja,</w:t>
                  </w:r>
                </w:p>
                <w:p w14:paraId="7C3ECB47" w14:textId="77777777" w:rsidR="00A450AE" w:rsidRPr="00FC4A4F" w:rsidRDefault="005E7C9E" w:rsidP="005E7C9E">
                  <w:pPr>
                    <w:pStyle w:val="NoSpacing"/>
                    <w:numPr>
                      <w:ilvl w:val="0"/>
                      <w:numId w:val="40"/>
                    </w:numPr>
                    <w:spacing w:line="276" w:lineRule="auto"/>
                    <w:jc w:val="both"/>
                    <w:rPr>
                      <w:rFonts w:ascii="Arial" w:eastAsia="Calibri" w:hAnsi="Arial" w:cs="Arial"/>
                      <w:kern w:val="0"/>
                      <w:sz w:val="20"/>
                      <w:szCs w:val="20"/>
                    </w:rPr>
                  </w:pPr>
                  <w:r w:rsidRPr="00FC4A4F">
                    <w:rPr>
                      <w:rFonts w:ascii="Arial" w:eastAsia="Calibri" w:hAnsi="Arial" w:cs="Arial"/>
                      <w:kern w:val="0"/>
                      <w:sz w:val="20"/>
                      <w:szCs w:val="20"/>
                    </w:rPr>
                    <w:t>ohraniti in razvijati pomorsko znanje in spodbujanje zaposlovanja evropskih pomorščakov.</w:t>
                  </w:r>
                </w:p>
                <w:p w14:paraId="61307A96" w14:textId="77777777" w:rsidR="00A450AE" w:rsidRPr="00FC4A4F" w:rsidRDefault="00A450AE" w:rsidP="00A450AE">
                  <w:pPr>
                    <w:spacing w:after="0"/>
                    <w:jc w:val="both"/>
                    <w:rPr>
                      <w:rFonts w:ascii="Arial" w:hAnsi="Arial" w:cs="Arial"/>
                      <w:sz w:val="20"/>
                      <w:szCs w:val="20"/>
                    </w:rPr>
                  </w:pPr>
                </w:p>
                <w:p w14:paraId="7DF4D84C" w14:textId="1177B9A9" w:rsidR="00A450AE" w:rsidRPr="00FC4A4F" w:rsidRDefault="00FB0F1E" w:rsidP="00A450AE">
                  <w:pPr>
                    <w:jc w:val="both"/>
                    <w:rPr>
                      <w:rFonts w:ascii="Arial" w:hAnsi="Arial" w:cs="Arial"/>
                      <w:sz w:val="20"/>
                      <w:szCs w:val="20"/>
                    </w:rPr>
                  </w:pPr>
                  <w:r w:rsidRPr="00FC4A4F">
                    <w:rPr>
                      <w:rFonts w:ascii="Arial" w:hAnsi="Arial" w:cs="Arial"/>
                      <w:sz w:val="20"/>
                      <w:szCs w:val="20"/>
                    </w:rPr>
                    <w:t xml:space="preserve">Poleg omenjenih ciljev </w:t>
                  </w:r>
                  <w:r w:rsidR="00EC2D4D" w:rsidRPr="00FC4A4F">
                    <w:rPr>
                      <w:rFonts w:ascii="Arial" w:hAnsi="Arial" w:cs="Arial"/>
                      <w:sz w:val="20"/>
                      <w:szCs w:val="20"/>
                    </w:rPr>
                    <w:t xml:space="preserve">in cilja primerjalno urediti slovensko davčno zakonodajo z zakonodajo ostalih </w:t>
                  </w:r>
                  <w:r w:rsidR="00E22A59" w:rsidRPr="00FC4A4F">
                    <w:rPr>
                      <w:rFonts w:ascii="Arial" w:hAnsi="Arial" w:cs="Arial"/>
                      <w:sz w:val="20"/>
                      <w:szCs w:val="20"/>
                    </w:rPr>
                    <w:t xml:space="preserve">in sosednjih </w:t>
                  </w:r>
                  <w:r w:rsidR="00EC2D4D" w:rsidRPr="00FC4A4F">
                    <w:rPr>
                      <w:rFonts w:ascii="Arial" w:hAnsi="Arial" w:cs="Arial"/>
                      <w:sz w:val="20"/>
                      <w:szCs w:val="20"/>
                    </w:rPr>
                    <w:t>pomorskih držav članic EU</w:t>
                  </w:r>
                  <w:r w:rsidR="00E22A59" w:rsidRPr="00FC4A4F">
                    <w:rPr>
                      <w:rFonts w:ascii="Arial" w:hAnsi="Arial" w:cs="Arial"/>
                      <w:sz w:val="20"/>
                      <w:szCs w:val="20"/>
                    </w:rPr>
                    <w:t>/EGP</w:t>
                  </w:r>
                  <w:r w:rsidR="00EC2D4D" w:rsidRPr="00FC4A4F">
                    <w:rPr>
                      <w:rFonts w:ascii="Arial" w:hAnsi="Arial" w:cs="Arial"/>
                      <w:sz w:val="20"/>
                      <w:szCs w:val="20"/>
                    </w:rPr>
                    <w:t xml:space="preserve"> ter s tem zadržati upravljanje ladij v Sloveniji, tako da podjetja ne bodo selila upravljanj</w:t>
                  </w:r>
                  <w:r w:rsidR="00640643">
                    <w:rPr>
                      <w:rFonts w:ascii="Arial" w:hAnsi="Arial" w:cs="Arial"/>
                      <w:sz w:val="20"/>
                      <w:szCs w:val="20"/>
                    </w:rPr>
                    <w:t>a</w:t>
                  </w:r>
                  <w:r w:rsidR="00EC2D4D" w:rsidRPr="00FC4A4F">
                    <w:rPr>
                      <w:rFonts w:ascii="Arial" w:hAnsi="Arial" w:cs="Arial"/>
                      <w:sz w:val="20"/>
                      <w:szCs w:val="20"/>
                    </w:rPr>
                    <w:t xml:space="preserve"> v druge »ugodnejše« države, </w:t>
                  </w:r>
                  <w:r w:rsidR="00C62FAB">
                    <w:rPr>
                      <w:rFonts w:ascii="Arial" w:hAnsi="Arial" w:cs="Arial"/>
                      <w:sz w:val="20"/>
                      <w:szCs w:val="20"/>
                    </w:rPr>
                    <w:t>če</w:t>
                  </w:r>
                  <w:r w:rsidR="00EC2D4D" w:rsidRPr="00FC4A4F">
                    <w:rPr>
                      <w:rFonts w:ascii="Arial" w:hAnsi="Arial" w:cs="Arial"/>
                      <w:sz w:val="20"/>
                      <w:szCs w:val="20"/>
                    </w:rPr>
                    <w:t xml:space="preserve"> ne bo ekonomskega interesa</w:t>
                  </w:r>
                  <w:r w:rsidR="00E22A59" w:rsidRPr="00FC4A4F">
                    <w:rPr>
                      <w:rFonts w:ascii="Arial" w:hAnsi="Arial" w:cs="Arial"/>
                      <w:sz w:val="20"/>
                      <w:szCs w:val="20"/>
                    </w:rPr>
                    <w:t>,</w:t>
                  </w:r>
                  <w:r w:rsidR="00EC2D4D" w:rsidRPr="00FC4A4F">
                    <w:rPr>
                      <w:rFonts w:ascii="Arial" w:hAnsi="Arial" w:cs="Arial"/>
                      <w:sz w:val="20"/>
                      <w:szCs w:val="20"/>
                    </w:rPr>
                    <w:t xml:space="preserve"> </w:t>
                  </w:r>
                  <w:r w:rsidRPr="00FC4A4F">
                    <w:rPr>
                      <w:rFonts w:ascii="Arial" w:hAnsi="Arial" w:cs="Arial"/>
                      <w:sz w:val="20"/>
                      <w:szCs w:val="20"/>
                    </w:rPr>
                    <w:t>je t</w:t>
                  </w:r>
                  <w:r w:rsidR="00A450AE" w:rsidRPr="00FC4A4F">
                    <w:rPr>
                      <w:rFonts w:ascii="Arial" w:hAnsi="Arial" w:cs="Arial"/>
                      <w:sz w:val="20"/>
                      <w:szCs w:val="20"/>
                    </w:rPr>
                    <w:t xml:space="preserve">emeljni namen Zakona o davku na tonažo tudi z davčno politiko utrditi položaj Slovenije kot pomorske države, podpreti razvoj pomorskega gospodarstva, zagotoviti boljše pogoje za razvoj pomorstva in za njegov konkurenčen nastop na svetovnem trgu. To določata tudi Resolucija o pomorski usmeritvi Republike Slovenije in Resolucija o prometni politiki Republike Slovenije. </w:t>
                  </w:r>
                </w:p>
                <w:p w14:paraId="5660A4AC" w14:textId="2C629CE3" w:rsidR="00B82796" w:rsidRPr="00FC4A4F" w:rsidRDefault="00EE6A00" w:rsidP="00525E6E">
                  <w:pPr>
                    <w:spacing w:line="288" w:lineRule="auto"/>
                    <w:ind w:left="60"/>
                    <w:jc w:val="both"/>
                    <w:rPr>
                      <w:rFonts w:ascii="Arial" w:hAnsi="Arial" w:cs="Arial"/>
                      <w:sz w:val="20"/>
                      <w:szCs w:val="20"/>
                    </w:rPr>
                  </w:pPr>
                  <w:r w:rsidRPr="00FC4A4F">
                    <w:rPr>
                      <w:rFonts w:ascii="Arial" w:hAnsi="Arial" w:cs="Arial"/>
                      <w:sz w:val="20"/>
                      <w:szCs w:val="20"/>
                    </w:rPr>
                    <w:t xml:space="preserve">Pomorsko gospodarstvo </w:t>
                  </w:r>
                  <w:r w:rsidR="00FB0F1E" w:rsidRPr="00FC4A4F">
                    <w:rPr>
                      <w:rFonts w:ascii="Arial" w:hAnsi="Arial" w:cs="Arial"/>
                      <w:sz w:val="20"/>
                      <w:szCs w:val="20"/>
                    </w:rPr>
                    <w:t>je</w:t>
                  </w:r>
                  <w:r w:rsidRPr="00FC4A4F">
                    <w:rPr>
                      <w:rFonts w:ascii="Arial" w:hAnsi="Arial" w:cs="Arial"/>
                      <w:sz w:val="20"/>
                      <w:szCs w:val="20"/>
                    </w:rPr>
                    <w:t xml:space="preserve"> podvrženo velikim cikličnim nihanjem, obdobjem konjunkture sledijo </w:t>
                  </w:r>
                  <w:r w:rsidRPr="00FC4A4F">
                    <w:rPr>
                      <w:rFonts w:ascii="Arial" w:hAnsi="Arial" w:cs="Arial"/>
                      <w:sz w:val="20"/>
                      <w:szCs w:val="20"/>
                    </w:rPr>
                    <w:lastRenderedPageBreak/>
                    <w:t xml:space="preserve">krizna obdobja. </w:t>
                  </w:r>
                  <w:r w:rsidR="00AB05EC" w:rsidRPr="00FC4A4F">
                    <w:rPr>
                      <w:rFonts w:ascii="Arial" w:hAnsi="Arial" w:cs="Arial"/>
                      <w:sz w:val="20"/>
                      <w:szCs w:val="20"/>
                    </w:rPr>
                    <w:t xml:space="preserve">V času </w:t>
                  </w:r>
                  <w:proofErr w:type="spellStart"/>
                  <w:r w:rsidR="00AB05EC" w:rsidRPr="00FC4A4F">
                    <w:rPr>
                      <w:rFonts w:ascii="Arial" w:hAnsi="Arial" w:cs="Arial"/>
                      <w:sz w:val="20"/>
                      <w:szCs w:val="20"/>
                    </w:rPr>
                    <w:t>tranjanja</w:t>
                  </w:r>
                  <w:proofErr w:type="spellEnd"/>
                  <w:r w:rsidR="00AB05EC" w:rsidRPr="00FC4A4F">
                    <w:rPr>
                      <w:rFonts w:ascii="Arial" w:hAnsi="Arial" w:cs="Arial"/>
                      <w:sz w:val="20"/>
                      <w:szCs w:val="20"/>
                    </w:rPr>
                    <w:t xml:space="preserve"> sheme državne pomoči</w:t>
                  </w:r>
                  <w:r w:rsidR="00FB0F1E" w:rsidRPr="00FC4A4F">
                    <w:rPr>
                      <w:rFonts w:ascii="Arial" w:hAnsi="Arial" w:cs="Arial"/>
                      <w:sz w:val="20"/>
                      <w:szCs w:val="20"/>
                    </w:rPr>
                    <w:t xml:space="preserve"> davka na tonažo</w:t>
                  </w:r>
                  <w:r w:rsidR="00AB05EC" w:rsidRPr="00FC4A4F">
                    <w:rPr>
                      <w:rFonts w:ascii="Arial" w:hAnsi="Arial" w:cs="Arial"/>
                      <w:sz w:val="20"/>
                      <w:szCs w:val="20"/>
                    </w:rPr>
                    <w:t xml:space="preserve"> so se razmere </w:t>
                  </w:r>
                  <w:r w:rsidR="00504322" w:rsidRPr="00FC4A4F">
                    <w:rPr>
                      <w:rFonts w:ascii="Arial" w:hAnsi="Arial" w:cs="Arial"/>
                      <w:sz w:val="20"/>
                      <w:szCs w:val="20"/>
                    </w:rPr>
                    <w:t>na t</w:t>
                  </w:r>
                  <w:r w:rsidR="003869C5">
                    <w:rPr>
                      <w:rFonts w:ascii="Arial" w:hAnsi="Arial" w:cs="Arial"/>
                      <w:sz w:val="20"/>
                      <w:szCs w:val="20"/>
                    </w:rPr>
                    <w:t>r</w:t>
                  </w:r>
                  <w:r w:rsidR="00504322" w:rsidRPr="00FC4A4F">
                    <w:rPr>
                      <w:rFonts w:ascii="Arial" w:hAnsi="Arial" w:cs="Arial"/>
                      <w:sz w:val="20"/>
                      <w:szCs w:val="20"/>
                    </w:rPr>
                    <w:t>gu</w:t>
                  </w:r>
                  <w:r w:rsidR="00AB05EC" w:rsidRPr="00FC4A4F">
                    <w:rPr>
                      <w:rFonts w:ascii="Arial" w:hAnsi="Arial" w:cs="Arial"/>
                      <w:sz w:val="20"/>
                      <w:szCs w:val="20"/>
                    </w:rPr>
                    <w:t xml:space="preserve"> pomorske</w:t>
                  </w:r>
                  <w:r w:rsidR="00504322" w:rsidRPr="00FC4A4F">
                    <w:rPr>
                      <w:rFonts w:ascii="Arial" w:hAnsi="Arial" w:cs="Arial"/>
                      <w:sz w:val="20"/>
                      <w:szCs w:val="20"/>
                    </w:rPr>
                    <w:t>ga</w:t>
                  </w:r>
                  <w:r w:rsidR="00AB05EC" w:rsidRPr="00FC4A4F">
                    <w:rPr>
                      <w:rFonts w:ascii="Arial" w:hAnsi="Arial" w:cs="Arial"/>
                      <w:sz w:val="20"/>
                      <w:szCs w:val="20"/>
                    </w:rPr>
                    <w:t xml:space="preserve"> promet</w:t>
                  </w:r>
                  <w:r w:rsidR="00504322" w:rsidRPr="00FC4A4F">
                    <w:rPr>
                      <w:rFonts w:ascii="Arial" w:hAnsi="Arial" w:cs="Arial"/>
                      <w:sz w:val="20"/>
                      <w:szCs w:val="20"/>
                    </w:rPr>
                    <w:t>a</w:t>
                  </w:r>
                  <w:r w:rsidR="00AB05EC" w:rsidRPr="00FC4A4F">
                    <w:rPr>
                      <w:rFonts w:ascii="Arial" w:hAnsi="Arial" w:cs="Arial"/>
                      <w:sz w:val="20"/>
                      <w:szCs w:val="20"/>
                    </w:rPr>
                    <w:t xml:space="preserve"> zaradi globalne</w:t>
                  </w:r>
                  <w:r w:rsidR="00B82796" w:rsidRPr="00FC4A4F">
                    <w:rPr>
                      <w:rFonts w:ascii="Arial" w:hAnsi="Arial" w:cs="Arial"/>
                      <w:sz w:val="20"/>
                      <w:szCs w:val="20"/>
                    </w:rPr>
                    <w:t xml:space="preserve"> gospodarske</w:t>
                  </w:r>
                  <w:r w:rsidR="00AB05EC" w:rsidRPr="00FC4A4F">
                    <w:rPr>
                      <w:rFonts w:ascii="Arial" w:hAnsi="Arial" w:cs="Arial"/>
                      <w:sz w:val="20"/>
                      <w:szCs w:val="20"/>
                    </w:rPr>
                    <w:t xml:space="preserve"> krize poslabševale</w:t>
                  </w:r>
                  <w:r w:rsidR="00FB0F1E" w:rsidRPr="00FC4A4F">
                    <w:rPr>
                      <w:rFonts w:ascii="Arial" w:hAnsi="Arial" w:cs="Arial"/>
                      <w:sz w:val="20"/>
                      <w:szCs w:val="20"/>
                    </w:rPr>
                    <w:t>,</w:t>
                  </w:r>
                  <w:r w:rsidR="00AB05EC" w:rsidRPr="00FC4A4F">
                    <w:rPr>
                      <w:rFonts w:ascii="Arial" w:hAnsi="Arial" w:cs="Arial"/>
                      <w:sz w:val="20"/>
                      <w:szCs w:val="20"/>
                    </w:rPr>
                    <w:t xml:space="preserve"> prišlo je do padca voznin in zasičenost</w:t>
                  </w:r>
                  <w:r w:rsidR="00FB0F1E" w:rsidRPr="00FC4A4F">
                    <w:rPr>
                      <w:rFonts w:ascii="Arial" w:hAnsi="Arial" w:cs="Arial"/>
                      <w:sz w:val="20"/>
                      <w:szCs w:val="20"/>
                    </w:rPr>
                    <w:t>i</w:t>
                  </w:r>
                  <w:r w:rsidR="00AB05EC" w:rsidRPr="00FC4A4F">
                    <w:rPr>
                      <w:rFonts w:ascii="Arial" w:hAnsi="Arial" w:cs="Arial"/>
                      <w:sz w:val="20"/>
                      <w:szCs w:val="20"/>
                    </w:rPr>
                    <w:t xml:space="preserve"> trga z ladjami</w:t>
                  </w:r>
                  <w:r w:rsidR="00504322" w:rsidRPr="00FC4A4F">
                    <w:rPr>
                      <w:rFonts w:ascii="Arial" w:hAnsi="Arial" w:cs="Arial"/>
                      <w:sz w:val="20"/>
                      <w:szCs w:val="20"/>
                    </w:rPr>
                    <w:t>,</w:t>
                  </w:r>
                  <w:r w:rsidR="00FB0F1E" w:rsidRPr="00FC4A4F">
                    <w:rPr>
                      <w:rFonts w:ascii="Arial" w:hAnsi="Arial" w:cs="Arial"/>
                      <w:sz w:val="20"/>
                      <w:szCs w:val="20"/>
                    </w:rPr>
                    <w:t xml:space="preserve"> slednje pa je </w:t>
                  </w:r>
                  <w:r w:rsidR="00AB05EC" w:rsidRPr="00FC4A4F">
                    <w:rPr>
                      <w:rFonts w:ascii="Arial" w:hAnsi="Arial" w:cs="Arial"/>
                      <w:sz w:val="20"/>
                      <w:szCs w:val="20"/>
                    </w:rPr>
                    <w:t xml:space="preserve">pomenilo, da so ladjarji likvidnost zagotavljali </w:t>
                  </w:r>
                  <w:r w:rsidR="00495241">
                    <w:rPr>
                      <w:rFonts w:ascii="Arial" w:hAnsi="Arial" w:cs="Arial"/>
                      <w:sz w:val="20"/>
                      <w:szCs w:val="20"/>
                    </w:rPr>
                    <w:t>tudi</w:t>
                  </w:r>
                  <w:r w:rsidR="00AB05EC" w:rsidRPr="00FC4A4F">
                    <w:rPr>
                      <w:rFonts w:ascii="Arial" w:hAnsi="Arial" w:cs="Arial"/>
                      <w:sz w:val="20"/>
                      <w:szCs w:val="20"/>
                    </w:rPr>
                    <w:t xml:space="preserve"> z </w:t>
                  </w:r>
                  <w:proofErr w:type="spellStart"/>
                  <w:r w:rsidR="00AB05EC" w:rsidRPr="00FC4A4F">
                    <w:rPr>
                      <w:rFonts w:ascii="Arial" w:hAnsi="Arial" w:cs="Arial"/>
                      <w:sz w:val="20"/>
                      <w:szCs w:val="20"/>
                    </w:rPr>
                    <w:t>dezinvestranjem</w:t>
                  </w:r>
                  <w:proofErr w:type="spellEnd"/>
                  <w:r w:rsidR="00AB05EC" w:rsidRPr="00FC4A4F">
                    <w:rPr>
                      <w:rFonts w:ascii="Arial" w:hAnsi="Arial" w:cs="Arial"/>
                      <w:sz w:val="20"/>
                      <w:szCs w:val="20"/>
                    </w:rPr>
                    <w:t>.</w:t>
                  </w:r>
                  <w:r w:rsidR="00FB0F1E" w:rsidRPr="00FC4A4F">
                    <w:rPr>
                      <w:rFonts w:ascii="Arial" w:hAnsi="Arial" w:cs="Arial"/>
                      <w:sz w:val="20"/>
                      <w:szCs w:val="20"/>
                    </w:rPr>
                    <w:t xml:space="preserve"> </w:t>
                  </w:r>
                </w:p>
                <w:p w14:paraId="5F1920C9" w14:textId="13BC4C2B" w:rsidR="00AB05EC" w:rsidRPr="00FC4A4F" w:rsidRDefault="00B82796" w:rsidP="00525E6E">
                  <w:pPr>
                    <w:spacing w:line="288" w:lineRule="auto"/>
                    <w:ind w:left="60"/>
                    <w:jc w:val="both"/>
                    <w:rPr>
                      <w:rFonts w:ascii="Arial" w:hAnsi="Arial" w:cs="Arial"/>
                      <w:sz w:val="20"/>
                      <w:szCs w:val="20"/>
                    </w:rPr>
                  </w:pPr>
                  <w:r w:rsidRPr="00FC4A4F">
                    <w:rPr>
                      <w:rFonts w:ascii="Arial" w:hAnsi="Arial" w:cs="Arial"/>
                      <w:sz w:val="20"/>
                      <w:szCs w:val="20"/>
                    </w:rPr>
                    <w:t xml:space="preserve">Obstoječi sistem Zakona o davku na tonažo </w:t>
                  </w:r>
                  <w:r w:rsidR="00EC2D4D" w:rsidRPr="00FC4A4F">
                    <w:rPr>
                      <w:rFonts w:ascii="Arial" w:hAnsi="Arial" w:cs="Arial"/>
                      <w:sz w:val="20"/>
                      <w:szCs w:val="20"/>
                    </w:rPr>
                    <w:t xml:space="preserve">določa, da </w:t>
                  </w:r>
                  <w:r w:rsidR="00FB0F1E" w:rsidRPr="00FC4A4F">
                    <w:rPr>
                      <w:rFonts w:ascii="Arial" w:hAnsi="Arial" w:cs="Arial"/>
                      <w:sz w:val="20"/>
                      <w:szCs w:val="20"/>
                    </w:rPr>
                    <w:t xml:space="preserve">morajo zavezanci, ki so v sistemu davka na tonažo dohodke od prodaje ladij v primeru, ko jih ne </w:t>
                  </w:r>
                  <w:proofErr w:type="spellStart"/>
                  <w:r w:rsidR="00FB0F1E" w:rsidRPr="00FC4A4F">
                    <w:rPr>
                      <w:rFonts w:ascii="Arial" w:hAnsi="Arial" w:cs="Arial"/>
                      <w:sz w:val="20"/>
                      <w:szCs w:val="20"/>
                    </w:rPr>
                    <w:t>reinvestira</w:t>
                  </w:r>
                  <w:proofErr w:type="spellEnd"/>
                  <w:r w:rsidR="00FB0F1E" w:rsidRPr="00FC4A4F">
                    <w:rPr>
                      <w:rFonts w:ascii="Arial" w:hAnsi="Arial" w:cs="Arial"/>
                      <w:sz w:val="20"/>
                      <w:szCs w:val="20"/>
                    </w:rPr>
                    <w:t xml:space="preserve"> v roku petih let v nakup ene ali več ladij oziroma ladjarske družbe ali deleža ladjarske družbe</w:t>
                  </w:r>
                  <w:r w:rsidR="00E22A59" w:rsidRPr="00FC4A4F">
                    <w:rPr>
                      <w:rFonts w:ascii="Arial" w:hAnsi="Arial" w:cs="Arial"/>
                      <w:sz w:val="20"/>
                      <w:szCs w:val="20"/>
                    </w:rPr>
                    <w:t>,</w:t>
                  </w:r>
                  <w:r w:rsidR="00FB0F1E" w:rsidRPr="00FC4A4F">
                    <w:rPr>
                      <w:rFonts w:ascii="Arial" w:hAnsi="Arial" w:cs="Arial"/>
                      <w:sz w:val="20"/>
                      <w:szCs w:val="20"/>
                    </w:rPr>
                    <w:t xml:space="preserve"> </w:t>
                  </w:r>
                  <w:r w:rsidR="00D8179C" w:rsidRPr="00FC4A4F">
                    <w:rPr>
                      <w:rFonts w:ascii="Arial" w:hAnsi="Arial" w:cs="Arial"/>
                      <w:sz w:val="20"/>
                      <w:szCs w:val="20"/>
                    </w:rPr>
                    <w:t>v celoti vključiti v davčno osnovo, ki jo ugotavlja po zakonu, ki ureja davek od dohodkov pravnih oseb.</w:t>
                  </w:r>
                  <w:r w:rsidR="00FB0F1E" w:rsidRPr="00FC4A4F">
                    <w:rPr>
                      <w:rFonts w:ascii="Arial" w:hAnsi="Arial" w:cs="Arial"/>
                      <w:sz w:val="20"/>
                      <w:szCs w:val="20"/>
                    </w:rPr>
                    <w:t xml:space="preserve"> </w:t>
                  </w:r>
                </w:p>
                <w:p w14:paraId="63EFB7C9" w14:textId="7339A108" w:rsidR="005C7977" w:rsidRPr="00EC2D4D" w:rsidRDefault="00D8179C" w:rsidP="002D430F">
                  <w:pPr>
                    <w:spacing w:line="288" w:lineRule="auto"/>
                    <w:ind w:left="60"/>
                    <w:jc w:val="both"/>
                    <w:rPr>
                      <w:rFonts w:ascii="Arial" w:hAnsi="Arial" w:cs="Arial"/>
                      <w:sz w:val="20"/>
                      <w:szCs w:val="20"/>
                    </w:rPr>
                  </w:pPr>
                  <w:r w:rsidRPr="00FC4A4F">
                    <w:rPr>
                      <w:rFonts w:ascii="Arial" w:hAnsi="Arial" w:cs="Arial"/>
                      <w:sz w:val="20"/>
                      <w:szCs w:val="20"/>
                    </w:rPr>
                    <w:t xml:space="preserve">Slednje pomeni, da se v davčno osnovo določeno po zakonu, ki ureja obdavčitev </w:t>
                  </w:r>
                  <w:r w:rsidR="00E22A59" w:rsidRPr="00FC4A4F">
                    <w:rPr>
                      <w:rFonts w:ascii="Arial" w:hAnsi="Arial" w:cs="Arial"/>
                      <w:sz w:val="20"/>
                      <w:szCs w:val="20"/>
                    </w:rPr>
                    <w:t xml:space="preserve">dohodkov </w:t>
                  </w:r>
                  <w:r w:rsidRPr="00FC4A4F">
                    <w:rPr>
                      <w:rFonts w:ascii="Arial" w:hAnsi="Arial" w:cs="Arial"/>
                      <w:sz w:val="20"/>
                      <w:szCs w:val="20"/>
                    </w:rPr>
                    <w:t>pravnih oseb</w:t>
                  </w:r>
                  <w:r w:rsidR="00E22A59" w:rsidRPr="00FC4A4F">
                    <w:rPr>
                      <w:rFonts w:ascii="Arial" w:hAnsi="Arial" w:cs="Arial"/>
                      <w:sz w:val="20"/>
                      <w:szCs w:val="20"/>
                    </w:rPr>
                    <w:t>,</w:t>
                  </w:r>
                  <w:r w:rsidRPr="00FC4A4F">
                    <w:rPr>
                      <w:rFonts w:ascii="Arial" w:hAnsi="Arial" w:cs="Arial"/>
                      <w:sz w:val="20"/>
                      <w:szCs w:val="20"/>
                    </w:rPr>
                    <w:t xml:space="preserve"> vključi celot</w:t>
                  </w:r>
                  <w:r w:rsidR="002D430F">
                    <w:rPr>
                      <w:rFonts w:ascii="Arial" w:hAnsi="Arial" w:cs="Arial"/>
                      <w:sz w:val="20"/>
                      <w:szCs w:val="20"/>
                    </w:rPr>
                    <w:t>en</w:t>
                  </w:r>
                  <w:r w:rsidRPr="00FC4A4F">
                    <w:rPr>
                      <w:rFonts w:ascii="Arial" w:hAnsi="Arial" w:cs="Arial"/>
                      <w:sz w:val="20"/>
                      <w:szCs w:val="20"/>
                    </w:rPr>
                    <w:t xml:space="preserve"> dohod</w:t>
                  </w:r>
                  <w:r w:rsidR="002D430F">
                    <w:rPr>
                      <w:rFonts w:ascii="Arial" w:hAnsi="Arial" w:cs="Arial"/>
                      <w:sz w:val="20"/>
                      <w:szCs w:val="20"/>
                    </w:rPr>
                    <w:t>e</w:t>
                  </w:r>
                  <w:r w:rsidRPr="00FC4A4F">
                    <w:rPr>
                      <w:rFonts w:ascii="Arial" w:hAnsi="Arial" w:cs="Arial"/>
                      <w:sz w:val="20"/>
                      <w:szCs w:val="20"/>
                    </w:rPr>
                    <w:t>k nastal pri prodaji ladje</w:t>
                  </w:r>
                  <w:r w:rsidR="00416F67" w:rsidRPr="00FC4A4F">
                    <w:rPr>
                      <w:rFonts w:ascii="Arial" w:hAnsi="Arial" w:cs="Arial"/>
                      <w:sz w:val="20"/>
                      <w:szCs w:val="20"/>
                    </w:rPr>
                    <w:t>,</w:t>
                  </w:r>
                  <w:r w:rsidRPr="00FC4A4F">
                    <w:rPr>
                      <w:rFonts w:ascii="Arial" w:hAnsi="Arial" w:cs="Arial"/>
                      <w:sz w:val="20"/>
                      <w:szCs w:val="20"/>
                    </w:rPr>
                    <w:t xml:space="preserve"> ne upoštevajo pa se </w:t>
                  </w:r>
                  <w:r w:rsidR="00EC2D4D" w:rsidRPr="00FC4A4F">
                    <w:rPr>
                      <w:rFonts w:ascii="Arial" w:hAnsi="Arial" w:cs="Arial"/>
                      <w:sz w:val="20"/>
                      <w:szCs w:val="20"/>
                    </w:rPr>
                    <w:t xml:space="preserve">navedene </w:t>
                  </w:r>
                  <w:r w:rsidRPr="00FC4A4F">
                    <w:rPr>
                      <w:rFonts w:ascii="Arial" w:hAnsi="Arial" w:cs="Arial"/>
                      <w:sz w:val="20"/>
                      <w:szCs w:val="20"/>
                    </w:rPr>
                    <w:t xml:space="preserve">širše okoliščine, ki </w:t>
                  </w:r>
                  <w:r w:rsidR="00416F67" w:rsidRPr="00FC4A4F">
                    <w:rPr>
                      <w:rFonts w:ascii="Arial" w:hAnsi="Arial" w:cs="Arial"/>
                      <w:sz w:val="20"/>
                      <w:szCs w:val="20"/>
                    </w:rPr>
                    <w:t>se nanašajo na značilnosti veljavnosti sheme davka na tonažo</w:t>
                  </w:r>
                  <w:r w:rsidR="00E22A59" w:rsidRPr="00FC4A4F">
                    <w:rPr>
                      <w:rFonts w:ascii="Arial" w:hAnsi="Arial" w:cs="Arial"/>
                      <w:sz w:val="20"/>
                      <w:szCs w:val="20"/>
                    </w:rPr>
                    <w:t>,</w:t>
                  </w:r>
                  <w:r w:rsidR="00416F67" w:rsidRPr="00FC4A4F">
                    <w:rPr>
                      <w:rFonts w:ascii="Arial" w:hAnsi="Arial" w:cs="Arial"/>
                      <w:sz w:val="20"/>
                      <w:szCs w:val="20"/>
                    </w:rPr>
                    <w:t xml:space="preserve"> upoštevaje tudi posebnosti gospod</w:t>
                  </w:r>
                  <w:r w:rsidR="002D430F">
                    <w:rPr>
                      <w:rFonts w:ascii="Arial" w:hAnsi="Arial" w:cs="Arial"/>
                      <w:sz w:val="20"/>
                      <w:szCs w:val="20"/>
                    </w:rPr>
                    <w:t>ar</w:t>
                  </w:r>
                  <w:r w:rsidR="00416F67" w:rsidRPr="00FC4A4F">
                    <w:rPr>
                      <w:rFonts w:ascii="Arial" w:hAnsi="Arial" w:cs="Arial"/>
                      <w:sz w:val="20"/>
                      <w:szCs w:val="20"/>
                    </w:rPr>
                    <w:t>ske panog</w:t>
                  </w:r>
                  <w:r w:rsidR="00F32C44">
                    <w:rPr>
                      <w:rFonts w:ascii="Arial" w:hAnsi="Arial" w:cs="Arial"/>
                      <w:sz w:val="20"/>
                      <w:szCs w:val="20"/>
                    </w:rPr>
                    <w:t>e in poslovnega stanja zavezancev</w:t>
                  </w:r>
                  <w:r w:rsidRPr="00FC4A4F">
                    <w:rPr>
                      <w:rFonts w:ascii="Arial" w:hAnsi="Arial" w:cs="Arial"/>
                      <w:sz w:val="20"/>
                      <w:szCs w:val="20"/>
                    </w:rPr>
                    <w:t>.</w:t>
                  </w:r>
                  <w:r>
                    <w:rPr>
                      <w:rFonts w:ascii="Arial" w:hAnsi="Arial" w:cs="Arial"/>
                      <w:sz w:val="20"/>
                      <w:szCs w:val="20"/>
                    </w:rPr>
                    <w:t xml:space="preserve"> </w:t>
                  </w:r>
                </w:p>
              </w:tc>
            </w:tr>
            <w:tr w:rsidR="005C7977" w:rsidRPr="00415A84" w14:paraId="15703963" w14:textId="77777777" w:rsidTr="00766741">
              <w:tc>
                <w:tcPr>
                  <w:tcW w:w="9213" w:type="dxa"/>
                </w:tcPr>
                <w:p w14:paraId="48E85E23" w14:textId="77777777" w:rsidR="005C7977" w:rsidRPr="00415A84" w:rsidRDefault="005C7977" w:rsidP="007D5C73">
                  <w:pPr>
                    <w:pStyle w:val="Alineazaodstavkom"/>
                    <w:numPr>
                      <w:ilvl w:val="0"/>
                      <w:numId w:val="0"/>
                    </w:numPr>
                    <w:spacing w:line="260" w:lineRule="exact"/>
                    <w:rPr>
                      <w:rFonts w:eastAsia="Calibri" w:cs="Arial"/>
                      <w:sz w:val="20"/>
                      <w:szCs w:val="20"/>
                      <w:lang w:val="sl-SI" w:eastAsia="en-US"/>
                    </w:rPr>
                  </w:pPr>
                </w:p>
              </w:tc>
            </w:tr>
            <w:tr w:rsidR="005C7977" w:rsidRPr="00415A84" w14:paraId="421BF5E9" w14:textId="77777777" w:rsidTr="00766741">
              <w:tc>
                <w:tcPr>
                  <w:tcW w:w="9213" w:type="dxa"/>
                </w:tcPr>
                <w:p w14:paraId="0D56482F" w14:textId="77777777" w:rsidR="005C7977" w:rsidRPr="00DD0E22" w:rsidRDefault="005C7977" w:rsidP="00766741">
                  <w:pPr>
                    <w:pStyle w:val="Oddelek"/>
                    <w:numPr>
                      <w:ilvl w:val="0"/>
                      <w:numId w:val="0"/>
                    </w:numPr>
                    <w:spacing w:before="0" w:after="0" w:line="260" w:lineRule="exact"/>
                    <w:jc w:val="left"/>
                    <w:rPr>
                      <w:rFonts w:eastAsia="Calibri" w:cs="Arial"/>
                      <w:sz w:val="20"/>
                      <w:szCs w:val="20"/>
                      <w:lang w:val="sl-SI" w:eastAsia="en-US"/>
                    </w:rPr>
                  </w:pPr>
                  <w:r w:rsidRPr="00DD0E22">
                    <w:rPr>
                      <w:rFonts w:eastAsia="Calibri" w:cs="Arial"/>
                      <w:sz w:val="20"/>
                      <w:szCs w:val="20"/>
                      <w:lang w:val="sl-SI" w:eastAsia="en-US"/>
                    </w:rPr>
                    <w:t>2. CILJI, NAČELA IN POGLAVITNE REŠITVE PREDLOGA ZAKONA</w:t>
                  </w:r>
                </w:p>
              </w:tc>
            </w:tr>
            <w:tr w:rsidR="005C7977" w:rsidRPr="00415A84" w14:paraId="6988762A" w14:textId="77777777" w:rsidTr="00766741">
              <w:tc>
                <w:tcPr>
                  <w:tcW w:w="9213" w:type="dxa"/>
                </w:tcPr>
                <w:p w14:paraId="45B5C662" w14:textId="77777777" w:rsidR="005C7977" w:rsidRPr="00DD0E22" w:rsidRDefault="005C7977" w:rsidP="00766741">
                  <w:pPr>
                    <w:pStyle w:val="Odsek"/>
                    <w:numPr>
                      <w:ilvl w:val="0"/>
                      <w:numId w:val="0"/>
                    </w:numPr>
                    <w:spacing w:before="0" w:after="0" w:line="260" w:lineRule="exact"/>
                    <w:jc w:val="left"/>
                    <w:rPr>
                      <w:rFonts w:eastAsia="Calibri" w:cs="Arial"/>
                      <w:sz w:val="20"/>
                      <w:szCs w:val="20"/>
                      <w:lang w:val="sl-SI" w:eastAsia="en-US"/>
                    </w:rPr>
                  </w:pPr>
                  <w:r w:rsidRPr="00DD0E22">
                    <w:rPr>
                      <w:rFonts w:eastAsia="Calibri" w:cs="Arial"/>
                      <w:sz w:val="20"/>
                      <w:szCs w:val="20"/>
                      <w:lang w:val="sl-SI" w:eastAsia="en-US"/>
                    </w:rPr>
                    <w:t>2.1 Cilji</w:t>
                  </w:r>
                </w:p>
              </w:tc>
            </w:tr>
            <w:tr w:rsidR="005C7977" w:rsidRPr="00415A84" w14:paraId="71CAB974" w14:textId="77777777" w:rsidTr="00766741">
              <w:tc>
                <w:tcPr>
                  <w:tcW w:w="9213" w:type="dxa"/>
                </w:tcPr>
                <w:p w14:paraId="3DAB2457" w14:textId="72B27F10" w:rsidR="00790E4A" w:rsidRPr="00373BBC" w:rsidRDefault="00790E4A" w:rsidP="00790E4A">
                  <w:pPr>
                    <w:spacing w:after="0"/>
                    <w:jc w:val="both"/>
                    <w:rPr>
                      <w:rFonts w:ascii="Arial" w:hAnsi="Arial" w:cs="Arial"/>
                      <w:strike/>
                      <w:sz w:val="20"/>
                      <w:szCs w:val="20"/>
                    </w:rPr>
                  </w:pPr>
                  <w:r w:rsidRPr="00373BBC">
                    <w:rPr>
                      <w:rFonts w:ascii="Arial" w:hAnsi="Arial" w:cs="Arial"/>
                      <w:strike/>
                      <w:sz w:val="20"/>
                      <w:szCs w:val="20"/>
                    </w:rPr>
                    <w:t xml:space="preserve"> </w:t>
                  </w:r>
                </w:p>
                <w:p w14:paraId="6E29E071" w14:textId="301A181B" w:rsidR="00416F67" w:rsidRPr="00790E4A" w:rsidRDefault="00416F67" w:rsidP="00416F67">
                  <w:pPr>
                    <w:spacing w:after="0" w:line="269" w:lineRule="auto"/>
                    <w:jc w:val="both"/>
                    <w:rPr>
                      <w:rFonts w:ascii="Arial" w:hAnsi="Arial" w:cs="Arial"/>
                      <w:sz w:val="20"/>
                      <w:szCs w:val="20"/>
                    </w:rPr>
                  </w:pPr>
                  <w:r w:rsidRPr="00790E4A">
                    <w:rPr>
                      <w:rFonts w:ascii="Arial" w:hAnsi="Arial" w:cs="Arial"/>
                      <w:sz w:val="20"/>
                      <w:szCs w:val="20"/>
                    </w:rPr>
                    <w:t>Cilji</w:t>
                  </w:r>
                  <w:r>
                    <w:rPr>
                      <w:rFonts w:ascii="Arial" w:hAnsi="Arial" w:cs="Arial"/>
                      <w:sz w:val="20"/>
                      <w:szCs w:val="20"/>
                    </w:rPr>
                    <w:t>, ki se zasledujejo s predlogom zakona</w:t>
                  </w:r>
                  <w:r w:rsidR="00901AC1">
                    <w:rPr>
                      <w:rFonts w:ascii="Arial" w:hAnsi="Arial" w:cs="Arial"/>
                      <w:sz w:val="20"/>
                      <w:szCs w:val="20"/>
                    </w:rPr>
                    <w:t>,</w:t>
                  </w:r>
                  <w:r>
                    <w:rPr>
                      <w:rFonts w:ascii="Arial" w:hAnsi="Arial" w:cs="Arial"/>
                      <w:sz w:val="20"/>
                      <w:szCs w:val="20"/>
                    </w:rPr>
                    <w:t xml:space="preserve"> so enaki ciljem, ki so se zasledovali pri</w:t>
                  </w:r>
                  <w:r w:rsidRPr="00790E4A">
                    <w:rPr>
                      <w:rFonts w:ascii="Arial" w:hAnsi="Arial" w:cs="Arial"/>
                      <w:sz w:val="20"/>
                      <w:szCs w:val="20"/>
                    </w:rPr>
                    <w:t xml:space="preserve"> uvedb</w:t>
                  </w:r>
                  <w:r>
                    <w:rPr>
                      <w:rFonts w:ascii="Arial" w:hAnsi="Arial" w:cs="Arial"/>
                      <w:sz w:val="20"/>
                      <w:szCs w:val="20"/>
                    </w:rPr>
                    <w:t>i</w:t>
                  </w:r>
                  <w:r w:rsidRPr="00790E4A">
                    <w:rPr>
                      <w:rFonts w:ascii="Arial" w:hAnsi="Arial" w:cs="Arial"/>
                      <w:sz w:val="20"/>
                      <w:szCs w:val="20"/>
                    </w:rPr>
                    <w:t xml:space="preserve"> Zakona o davku na tonažo </w:t>
                  </w:r>
                  <w:r>
                    <w:rPr>
                      <w:rFonts w:ascii="Arial" w:hAnsi="Arial" w:cs="Arial"/>
                      <w:sz w:val="20"/>
                      <w:szCs w:val="20"/>
                    </w:rPr>
                    <w:t xml:space="preserve">in so skladni </w:t>
                  </w:r>
                  <w:r w:rsidR="00901AC1">
                    <w:rPr>
                      <w:rFonts w:ascii="Arial" w:hAnsi="Arial" w:cs="Arial"/>
                      <w:sz w:val="20"/>
                      <w:szCs w:val="20"/>
                    </w:rPr>
                    <w:t>s</w:t>
                  </w:r>
                  <w:r>
                    <w:rPr>
                      <w:rFonts w:ascii="Arial" w:hAnsi="Arial" w:cs="Arial"/>
                      <w:sz w:val="20"/>
                      <w:szCs w:val="20"/>
                    </w:rPr>
                    <w:t xml:space="preserve"> cilji, </w:t>
                  </w:r>
                  <w:r w:rsidRPr="00416F67">
                    <w:rPr>
                      <w:rFonts w:ascii="Arial" w:hAnsi="Arial" w:cs="Arial"/>
                      <w:sz w:val="20"/>
                      <w:szCs w:val="20"/>
                    </w:rPr>
                    <w:t>ki so določeni v Smernicah Skupnosti o državnih pomočeh za pomorski promet</w:t>
                  </w:r>
                  <w:r>
                    <w:rPr>
                      <w:rFonts w:ascii="Arial" w:hAnsi="Arial" w:cs="Arial"/>
                      <w:sz w:val="20"/>
                      <w:szCs w:val="20"/>
                    </w:rPr>
                    <w:t>. Ti cilji so</w:t>
                  </w:r>
                  <w:r w:rsidRPr="00790E4A">
                    <w:rPr>
                      <w:rFonts w:ascii="Arial" w:hAnsi="Arial" w:cs="Arial"/>
                      <w:sz w:val="20"/>
                      <w:szCs w:val="20"/>
                    </w:rPr>
                    <w:t>:</w:t>
                  </w:r>
                </w:p>
                <w:p w14:paraId="57943F4B" w14:textId="4EE7A13D" w:rsidR="00416F67" w:rsidRPr="00790E4A" w:rsidRDefault="00416F67" w:rsidP="00416F67">
                  <w:pPr>
                    <w:pStyle w:val="ListParagraph"/>
                    <w:numPr>
                      <w:ilvl w:val="0"/>
                      <w:numId w:val="46"/>
                    </w:numPr>
                    <w:spacing w:line="269" w:lineRule="auto"/>
                    <w:contextualSpacing/>
                    <w:jc w:val="both"/>
                    <w:rPr>
                      <w:rFonts w:ascii="Arial" w:eastAsia="Calibri" w:hAnsi="Arial" w:cs="Arial"/>
                      <w:sz w:val="20"/>
                      <w:szCs w:val="20"/>
                      <w:lang w:eastAsia="en-US"/>
                    </w:rPr>
                  </w:pPr>
                  <w:r w:rsidRPr="00790E4A">
                    <w:rPr>
                      <w:rFonts w:ascii="Arial" w:eastAsia="Calibri" w:hAnsi="Arial" w:cs="Arial"/>
                      <w:sz w:val="20"/>
                      <w:szCs w:val="20"/>
                      <w:lang w:eastAsia="en-US"/>
                    </w:rPr>
                    <w:t xml:space="preserve">primerjalno urediti slovensko davčno zakonodajo z zakonodajo ostalih pomorskih držav članic EU, </w:t>
                  </w:r>
                </w:p>
                <w:p w14:paraId="6D4CFDFB" w14:textId="5CB95FEA" w:rsidR="00416F67" w:rsidRPr="00790E4A" w:rsidRDefault="00416F67" w:rsidP="00416F67">
                  <w:pPr>
                    <w:pStyle w:val="ListParagraph"/>
                    <w:numPr>
                      <w:ilvl w:val="0"/>
                      <w:numId w:val="46"/>
                    </w:numPr>
                    <w:spacing w:line="269" w:lineRule="auto"/>
                    <w:contextualSpacing/>
                    <w:jc w:val="both"/>
                    <w:rPr>
                      <w:rFonts w:ascii="Arial" w:eastAsia="Calibri" w:hAnsi="Arial" w:cs="Arial"/>
                      <w:sz w:val="20"/>
                      <w:szCs w:val="20"/>
                      <w:lang w:eastAsia="en-US"/>
                    </w:rPr>
                  </w:pPr>
                  <w:proofErr w:type="spellStart"/>
                  <w:r w:rsidRPr="00790E4A">
                    <w:rPr>
                      <w:rFonts w:ascii="Arial" w:eastAsia="Calibri" w:hAnsi="Arial" w:cs="Arial"/>
                      <w:sz w:val="20"/>
                      <w:szCs w:val="20"/>
                      <w:lang w:eastAsia="en-US"/>
                    </w:rPr>
                    <w:t>vzpodbujanje</w:t>
                  </w:r>
                  <w:proofErr w:type="spellEnd"/>
                  <w:r w:rsidRPr="00790E4A">
                    <w:rPr>
                      <w:rFonts w:ascii="Arial" w:eastAsia="Calibri" w:hAnsi="Arial" w:cs="Arial"/>
                      <w:sz w:val="20"/>
                      <w:szCs w:val="20"/>
                      <w:lang w:eastAsia="en-US"/>
                    </w:rPr>
                    <w:t xml:space="preserve"> vpisovanja ladij v ladijske vpisnike držav</w:t>
                  </w:r>
                  <w:r w:rsidR="00EC2D4D">
                    <w:rPr>
                      <w:rFonts w:ascii="Arial" w:eastAsia="Calibri" w:hAnsi="Arial" w:cs="Arial"/>
                      <w:sz w:val="20"/>
                      <w:szCs w:val="20"/>
                      <w:lang w:eastAsia="en-US"/>
                    </w:rPr>
                    <w:t xml:space="preserve"> članic</w:t>
                  </w:r>
                  <w:r w:rsidRPr="00790E4A">
                    <w:rPr>
                      <w:rFonts w:ascii="Arial" w:eastAsia="Calibri" w:hAnsi="Arial" w:cs="Arial"/>
                      <w:sz w:val="20"/>
                      <w:szCs w:val="20"/>
                      <w:lang w:eastAsia="en-US"/>
                    </w:rPr>
                    <w:t xml:space="preserve">, </w:t>
                  </w:r>
                </w:p>
                <w:p w14:paraId="3DB868F1" w14:textId="4D809DC1" w:rsidR="00416F67" w:rsidRPr="00790E4A" w:rsidRDefault="00416F67" w:rsidP="00416F67">
                  <w:pPr>
                    <w:pStyle w:val="ListParagraph"/>
                    <w:numPr>
                      <w:ilvl w:val="0"/>
                      <w:numId w:val="46"/>
                    </w:numPr>
                    <w:spacing w:line="269" w:lineRule="auto"/>
                    <w:contextualSpacing/>
                    <w:jc w:val="both"/>
                    <w:rPr>
                      <w:rFonts w:ascii="Arial" w:eastAsia="Calibri" w:hAnsi="Arial" w:cs="Arial"/>
                      <w:sz w:val="20"/>
                      <w:szCs w:val="20"/>
                      <w:lang w:eastAsia="en-US"/>
                    </w:rPr>
                  </w:pPr>
                  <w:r w:rsidRPr="00790E4A">
                    <w:rPr>
                      <w:rFonts w:ascii="Arial" w:eastAsia="Calibri" w:hAnsi="Arial" w:cs="Arial"/>
                      <w:sz w:val="20"/>
                      <w:szCs w:val="20"/>
                      <w:lang w:eastAsia="en-US"/>
                    </w:rPr>
                    <w:t>povečati konkurenčnost slovenskih ladjarjev,</w:t>
                  </w:r>
                </w:p>
                <w:p w14:paraId="669EA89C" w14:textId="22EEE1D1" w:rsidR="00416F67" w:rsidRPr="00790E4A" w:rsidRDefault="00416F67" w:rsidP="00416F67">
                  <w:pPr>
                    <w:pStyle w:val="ListParagraph"/>
                    <w:numPr>
                      <w:ilvl w:val="0"/>
                      <w:numId w:val="46"/>
                    </w:numPr>
                    <w:spacing w:line="269" w:lineRule="auto"/>
                    <w:contextualSpacing/>
                    <w:jc w:val="both"/>
                    <w:rPr>
                      <w:rFonts w:ascii="Arial" w:eastAsia="Calibri" w:hAnsi="Arial" w:cs="Arial"/>
                      <w:sz w:val="20"/>
                      <w:szCs w:val="20"/>
                      <w:lang w:eastAsia="en-US"/>
                    </w:rPr>
                  </w:pPr>
                  <w:proofErr w:type="spellStart"/>
                  <w:r w:rsidRPr="00790E4A">
                    <w:rPr>
                      <w:rFonts w:ascii="Arial" w:eastAsia="Calibri" w:hAnsi="Arial" w:cs="Arial"/>
                      <w:sz w:val="20"/>
                      <w:szCs w:val="20"/>
                      <w:lang w:eastAsia="en-US"/>
                    </w:rPr>
                    <w:t>vzpodbujanje</w:t>
                  </w:r>
                  <w:proofErr w:type="spellEnd"/>
                  <w:r w:rsidRPr="00790E4A">
                    <w:rPr>
                      <w:rFonts w:ascii="Arial" w:eastAsia="Calibri" w:hAnsi="Arial" w:cs="Arial"/>
                      <w:sz w:val="20"/>
                      <w:szCs w:val="20"/>
                      <w:lang w:eastAsia="en-US"/>
                    </w:rPr>
                    <w:t xml:space="preserve"> zaposlovanja pomorščakov iz držav članic in širše ohranjanje delovnih mest (na ladjah in kopnem) ter pomorskega znanja (zagotoviti ohranjanje in nadgradnjo pomorskega znanja kakor tudi izboljšanje zanimanja za tovrstno izobraževanje)</w:t>
                  </w:r>
                  <w:r w:rsidR="00901AC1">
                    <w:rPr>
                      <w:rFonts w:ascii="Arial" w:eastAsia="Calibri" w:hAnsi="Arial" w:cs="Arial"/>
                      <w:sz w:val="20"/>
                      <w:szCs w:val="20"/>
                      <w:lang w:eastAsia="en-US"/>
                    </w:rPr>
                    <w:t>,</w:t>
                  </w:r>
                  <w:r w:rsidRPr="00790E4A">
                    <w:rPr>
                      <w:rFonts w:ascii="Arial" w:eastAsia="Calibri" w:hAnsi="Arial" w:cs="Arial"/>
                      <w:sz w:val="20"/>
                      <w:szCs w:val="20"/>
                      <w:lang w:eastAsia="en-US"/>
                    </w:rPr>
                    <w:t xml:space="preserve"> </w:t>
                  </w:r>
                </w:p>
                <w:p w14:paraId="6FB75850" w14:textId="5973600B" w:rsidR="00416F67" w:rsidRPr="00790E4A" w:rsidRDefault="00416F67" w:rsidP="00416F67">
                  <w:pPr>
                    <w:pStyle w:val="Neotevilenodstavek"/>
                    <w:numPr>
                      <w:ilvl w:val="0"/>
                      <w:numId w:val="46"/>
                    </w:numPr>
                    <w:spacing w:before="0" w:after="0" w:line="269" w:lineRule="auto"/>
                    <w:rPr>
                      <w:rFonts w:eastAsia="Calibri" w:cs="Arial"/>
                      <w:sz w:val="20"/>
                      <w:szCs w:val="20"/>
                      <w:lang w:val="sl-SI" w:eastAsia="en-US"/>
                    </w:rPr>
                  </w:pPr>
                  <w:proofErr w:type="spellStart"/>
                  <w:r w:rsidRPr="00790E4A">
                    <w:rPr>
                      <w:rFonts w:eastAsia="Calibri" w:cs="Arial"/>
                      <w:sz w:val="20"/>
                      <w:szCs w:val="20"/>
                      <w:lang w:val="sl-SI" w:eastAsia="en-US"/>
                    </w:rPr>
                    <w:t>vzpodbujanje</w:t>
                  </w:r>
                  <w:proofErr w:type="spellEnd"/>
                  <w:r w:rsidRPr="00790E4A">
                    <w:rPr>
                      <w:rFonts w:eastAsia="Calibri" w:cs="Arial"/>
                      <w:sz w:val="20"/>
                      <w:szCs w:val="20"/>
                      <w:lang w:val="sl-SI" w:eastAsia="en-US"/>
                    </w:rPr>
                    <w:t xml:space="preserve"> </w:t>
                  </w:r>
                  <w:r w:rsidR="00901AC1">
                    <w:rPr>
                      <w:rFonts w:eastAsia="Calibri" w:cs="Arial"/>
                      <w:sz w:val="20"/>
                      <w:szCs w:val="20"/>
                      <w:lang w:val="sl-SI" w:eastAsia="en-US"/>
                    </w:rPr>
                    <w:t>razvoja pomorskega gospodarstva.</w:t>
                  </w:r>
                </w:p>
                <w:p w14:paraId="332A1DEC" w14:textId="3322E82E" w:rsidR="005C7977" w:rsidRPr="00790E4A" w:rsidRDefault="00635CC3" w:rsidP="004C3084">
                  <w:pPr>
                    <w:overflowPunct w:val="0"/>
                    <w:autoSpaceDE w:val="0"/>
                    <w:autoSpaceDN w:val="0"/>
                    <w:adjustRightInd w:val="0"/>
                    <w:spacing w:after="0" w:line="260" w:lineRule="exact"/>
                    <w:jc w:val="both"/>
                    <w:textAlignment w:val="baseline"/>
                    <w:rPr>
                      <w:rFonts w:cs="Arial"/>
                      <w:sz w:val="20"/>
                      <w:szCs w:val="20"/>
                    </w:rPr>
                  </w:pPr>
                  <w:r>
                    <w:rPr>
                      <w:rFonts w:ascii="Arial" w:eastAsia="Times New Roman" w:hAnsi="Arial" w:cs="Arial"/>
                      <w:sz w:val="20"/>
                      <w:highlight w:val="yellow"/>
                      <w:lang w:eastAsia="sl-SI"/>
                    </w:rPr>
                    <w:t xml:space="preserve"> </w:t>
                  </w:r>
                </w:p>
              </w:tc>
            </w:tr>
            <w:tr w:rsidR="005C7977" w:rsidRPr="00415A84" w14:paraId="7EBDFBC0" w14:textId="77777777" w:rsidTr="00766741">
              <w:tc>
                <w:tcPr>
                  <w:tcW w:w="9213" w:type="dxa"/>
                </w:tcPr>
                <w:p w14:paraId="45EF2E4A" w14:textId="77777777" w:rsidR="005C7977" w:rsidRPr="00DD0E22" w:rsidRDefault="005C7977" w:rsidP="00766741">
                  <w:pPr>
                    <w:pStyle w:val="Odsek"/>
                    <w:numPr>
                      <w:ilvl w:val="0"/>
                      <w:numId w:val="0"/>
                    </w:numPr>
                    <w:spacing w:before="0" w:after="0" w:line="260" w:lineRule="exact"/>
                    <w:jc w:val="left"/>
                    <w:rPr>
                      <w:rFonts w:eastAsia="Calibri" w:cs="Arial"/>
                      <w:sz w:val="20"/>
                      <w:szCs w:val="20"/>
                      <w:lang w:val="sl-SI" w:eastAsia="en-US"/>
                    </w:rPr>
                  </w:pPr>
                  <w:r w:rsidRPr="00DD0E22">
                    <w:rPr>
                      <w:rFonts w:eastAsia="Calibri" w:cs="Arial"/>
                      <w:sz w:val="20"/>
                      <w:szCs w:val="20"/>
                      <w:lang w:val="sl-SI" w:eastAsia="en-US"/>
                    </w:rPr>
                    <w:t>2.2 Načela</w:t>
                  </w:r>
                </w:p>
                <w:p w14:paraId="295D4D46" w14:textId="77777777" w:rsidR="00635CC3" w:rsidRDefault="00635CC3" w:rsidP="00416F67">
                  <w:pPr>
                    <w:overflowPunct w:val="0"/>
                    <w:autoSpaceDE w:val="0"/>
                    <w:autoSpaceDN w:val="0"/>
                    <w:adjustRightInd w:val="0"/>
                    <w:spacing w:after="0" w:line="260" w:lineRule="exact"/>
                    <w:jc w:val="both"/>
                    <w:textAlignment w:val="baseline"/>
                    <w:rPr>
                      <w:rFonts w:cs="Arial"/>
                      <w:szCs w:val="20"/>
                    </w:rPr>
                  </w:pPr>
                </w:p>
                <w:p w14:paraId="0939855D" w14:textId="4B61D8DE" w:rsidR="006B0130" w:rsidRPr="00635CC3" w:rsidRDefault="00635CC3" w:rsidP="00635CC3">
                  <w:pPr>
                    <w:jc w:val="both"/>
                    <w:rPr>
                      <w:rFonts w:ascii="Arial" w:hAnsi="Arial" w:cs="Arial"/>
                      <w:sz w:val="20"/>
                      <w:szCs w:val="20"/>
                    </w:rPr>
                  </w:pPr>
                  <w:r w:rsidRPr="00635CC3">
                    <w:rPr>
                      <w:rFonts w:ascii="Arial" w:hAnsi="Arial" w:cs="Arial"/>
                      <w:sz w:val="20"/>
                      <w:szCs w:val="20"/>
                    </w:rPr>
                    <w:t>Načelo</w:t>
                  </w:r>
                  <w:r w:rsidR="00EC2D4D">
                    <w:rPr>
                      <w:rFonts w:ascii="Arial" w:hAnsi="Arial" w:cs="Arial"/>
                      <w:sz w:val="20"/>
                      <w:szCs w:val="20"/>
                    </w:rPr>
                    <w:t xml:space="preserve"> predloga</w:t>
                  </w:r>
                  <w:r w:rsidRPr="00635CC3">
                    <w:rPr>
                      <w:rFonts w:ascii="Arial" w:hAnsi="Arial" w:cs="Arial"/>
                      <w:sz w:val="20"/>
                      <w:szCs w:val="20"/>
                    </w:rPr>
                    <w:t xml:space="preserve"> zakona je zagotoviti ukrepe, ki zasledujejo navedene cilje. Predlog zakona sledi temeljnim načelom, na katerih temelji osnovni zakon, med katerimi so v tem predlogu zakona ključna: načelo enake davčne obravnave, načelo obdavčitve po gospodar</w:t>
                  </w:r>
                  <w:r w:rsidR="00FC4A4F">
                    <w:rPr>
                      <w:rFonts w:ascii="Arial" w:hAnsi="Arial" w:cs="Arial"/>
                      <w:sz w:val="20"/>
                      <w:szCs w:val="20"/>
                    </w:rPr>
                    <w:t>ski moči in načelo preglednosti.</w:t>
                  </w:r>
                </w:p>
              </w:tc>
            </w:tr>
            <w:tr w:rsidR="005C7977" w:rsidRPr="00415A84" w14:paraId="36CD29B2" w14:textId="77777777" w:rsidTr="00766741">
              <w:tc>
                <w:tcPr>
                  <w:tcW w:w="9213" w:type="dxa"/>
                </w:tcPr>
                <w:p w14:paraId="596FF314" w14:textId="77777777" w:rsidR="005C7977" w:rsidRPr="00415A84" w:rsidRDefault="005C7977" w:rsidP="00766741">
                  <w:pPr>
                    <w:pStyle w:val="Neotevilenodstavek"/>
                    <w:spacing w:before="0" w:after="0" w:line="260" w:lineRule="exact"/>
                    <w:rPr>
                      <w:rFonts w:eastAsia="Calibri" w:cs="Arial"/>
                      <w:sz w:val="20"/>
                      <w:szCs w:val="20"/>
                      <w:lang w:val="sl-SI" w:eastAsia="en-US"/>
                    </w:rPr>
                  </w:pPr>
                </w:p>
              </w:tc>
            </w:tr>
            <w:tr w:rsidR="005C7977" w:rsidRPr="00415A84" w14:paraId="6BF0A313" w14:textId="77777777" w:rsidTr="00766741">
              <w:tc>
                <w:tcPr>
                  <w:tcW w:w="9213" w:type="dxa"/>
                </w:tcPr>
                <w:p w14:paraId="2F752074" w14:textId="69929798" w:rsidR="006B0130" w:rsidRPr="00DD0E22" w:rsidRDefault="005C7977" w:rsidP="00AD2A9F">
                  <w:pPr>
                    <w:pStyle w:val="Odsek"/>
                    <w:numPr>
                      <w:ilvl w:val="0"/>
                      <w:numId w:val="0"/>
                    </w:numPr>
                    <w:spacing w:before="0" w:after="0" w:line="260" w:lineRule="exact"/>
                    <w:jc w:val="both"/>
                    <w:rPr>
                      <w:rFonts w:eastAsia="Calibri" w:cs="Arial"/>
                      <w:sz w:val="20"/>
                      <w:szCs w:val="20"/>
                      <w:lang w:val="sl-SI" w:eastAsia="en-US"/>
                    </w:rPr>
                  </w:pPr>
                  <w:r w:rsidRPr="00DD0E22">
                    <w:rPr>
                      <w:rFonts w:eastAsia="Calibri" w:cs="Arial"/>
                      <w:sz w:val="20"/>
                      <w:szCs w:val="20"/>
                      <w:lang w:val="sl-SI" w:eastAsia="en-US"/>
                    </w:rPr>
                    <w:t>2.3 Poglavitne rešitve</w:t>
                  </w:r>
                  <w:r w:rsidR="006B0130" w:rsidRPr="00DD0E22">
                    <w:rPr>
                      <w:rFonts w:eastAsia="Calibri" w:cs="Arial"/>
                      <w:sz w:val="20"/>
                      <w:szCs w:val="20"/>
                      <w:lang w:val="sl-SI" w:eastAsia="en-US"/>
                    </w:rPr>
                    <w:t xml:space="preserve"> </w:t>
                  </w:r>
                </w:p>
                <w:p w14:paraId="7FFF3527" w14:textId="77777777" w:rsidR="00525E6E" w:rsidRDefault="00525E6E" w:rsidP="00AD2A9F">
                  <w:pPr>
                    <w:pStyle w:val="Odsek"/>
                    <w:numPr>
                      <w:ilvl w:val="0"/>
                      <w:numId w:val="0"/>
                    </w:numPr>
                    <w:spacing w:before="0" w:after="0" w:line="260" w:lineRule="exact"/>
                    <w:jc w:val="both"/>
                    <w:rPr>
                      <w:rFonts w:eastAsia="Calibri" w:cs="Arial"/>
                      <w:b w:val="0"/>
                      <w:sz w:val="20"/>
                      <w:szCs w:val="20"/>
                      <w:lang w:val="sl-SI" w:eastAsia="en-US"/>
                    </w:rPr>
                  </w:pPr>
                </w:p>
                <w:p w14:paraId="388FF886" w14:textId="455CB996" w:rsidR="00635CC3" w:rsidRPr="00715ED4" w:rsidRDefault="007F6447" w:rsidP="00AD2A9F">
                  <w:pPr>
                    <w:overflowPunct w:val="0"/>
                    <w:autoSpaceDE w:val="0"/>
                    <w:autoSpaceDN w:val="0"/>
                    <w:adjustRightInd w:val="0"/>
                    <w:spacing w:after="0" w:line="260" w:lineRule="exact"/>
                    <w:jc w:val="both"/>
                    <w:textAlignment w:val="baseline"/>
                    <w:rPr>
                      <w:rFonts w:ascii="Arial" w:hAnsi="Arial" w:cs="Arial"/>
                      <w:sz w:val="20"/>
                      <w:szCs w:val="20"/>
                    </w:rPr>
                  </w:pPr>
                  <w:r>
                    <w:rPr>
                      <w:rFonts w:ascii="Arial" w:hAnsi="Arial" w:cs="Arial"/>
                      <w:sz w:val="20"/>
                      <w:szCs w:val="20"/>
                    </w:rPr>
                    <w:t>V p</w:t>
                  </w:r>
                  <w:r w:rsidR="001A2407" w:rsidRPr="00EF4A15">
                    <w:rPr>
                      <w:rFonts w:ascii="Arial" w:hAnsi="Arial" w:cs="Arial"/>
                      <w:sz w:val="20"/>
                      <w:szCs w:val="20"/>
                    </w:rPr>
                    <w:t>rv</w:t>
                  </w:r>
                  <w:r>
                    <w:rPr>
                      <w:rFonts w:ascii="Arial" w:hAnsi="Arial" w:cs="Arial"/>
                      <w:sz w:val="20"/>
                      <w:szCs w:val="20"/>
                    </w:rPr>
                    <w:t>em</w:t>
                  </w:r>
                  <w:r w:rsidR="001A2407" w:rsidRPr="00EF4A15">
                    <w:rPr>
                      <w:rFonts w:ascii="Arial" w:hAnsi="Arial" w:cs="Arial"/>
                      <w:sz w:val="20"/>
                      <w:szCs w:val="20"/>
                    </w:rPr>
                    <w:t xml:space="preserve"> člen</w:t>
                  </w:r>
                  <w:r>
                    <w:rPr>
                      <w:rFonts w:ascii="Arial" w:hAnsi="Arial" w:cs="Arial"/>
                      <w:sz w:val="20"/>
                      <w:szCs w:val="20"/>
                    </w:rPr>
                    <w:t>u</w:t>
                  </w:r>
                  <w:r w:rsidR="00635CC3" w:rsidRPr="00EF4A15">
                    <w:rPr>
                      <w:rFonts w:ascii="Arial" w:hAnsi="Arial" w:cs="Arial"/>
                      <w:sz w:val="20"/>
                      <w:szCs w:val="20"/>
                    </w:rPr>
                    <w:t xml:space="preserve"> predlog</w:t>
                  </w:r>
                  <w:r w:rsidR="001A2407" w:rsidRPr="00EF4A15">
                    <w:rPr>
                      <w:rFonts w:ascii="Arial" w:hAnsi="Arial" w:cs="Arial"/>
                      <w:sz w:val="20"/>
                      <w:szCs w:val="20"/>
                    </w:rPr>
                    <w:t>a</w:t>
                  </w:r>
                  <w:r w:rsidR="00635CC3" w:rsidRPr="00EF4A15">
                    <w:rPr>
                      <w:rFonts w:ascii="Arial" w:hAnsi="Arial" w:cs="Arial"/>
                      <w:sz w:val="20"/>
                      <w:szCs w:val="20"/>
                    </w:rPr>
                    <w:t xml:space="preserve"> Zakona o sprememb</w:t>
                  </w:r>
                  <w:r w:rsidR="001A2407" w:rsidRPr="00EF4A15">
                    <w:rPr>
                      <w:rFonts w:ascii="Arial" w:hAnsi="Arial" w:cs="Arial"/>
                      <w:sz w:val="20"/>
                      <w:szCs w:val="20"/>
                    </w:rPr>
                    <w:t xml:space="preserve">ah Zakona o davku na tonažo </w:t>
                  </w:r>
                  <w:r>
                    <w:rPr>
                      <w:rFonts w:ascii="Arial" w:hAnsi="Arial" w:cs="Arial"/>
                      <w:sz w:val="20"/>
                      <w:szCs w:val="20"/>
                    </w:rPr>
                    <w:t xml:space="preserve">se </w:t>
                  </w:r>
                  <w:r w:rsidR="00635CC3" w:rsidRPr="00EF4A15">
                    <w:rPr>
                      <w:rFonts w:ascii="Arial" w:hAnsi="Arial" w:cs="Arial"/>
                      <w:sz w:val="20"/>
                      <w:szCs w:val="20"/>
                    </w:rPr>
                    <w:t xml:space="preserve">predlaga rešitev, ki omogoča, da se dohodki od prodaje ladje, če pogoji </w:t>
                  </w:r>
                  <w:proofErr w:type="spellStart"/>
                  <w:r w:rsidR="00635CC3" w:rsidRPr="00EF4A15">
                    <w:rPr>
                      <w:rFonts w:ascii="Arial" w:hAnsi="Arial" w:cs="Arial"/>
                      <w:sz w:val="20"/>
                      <w:szCs w:val="20"/>
                    </w:rPr>
                    <w:t>reinvestiranja</w:t>
                  </w:r>
                  <w:proofErr w:type="spellEnd"/>
                  <w:r w:rsidR="00635CC3" w:rsidRPr="00EF4A15">
                    <w:rPr>
                      <w:rFonts w:ascii="Arial" w:hAnsi="Arial" w:cs="Arial"/>
                      <w:sz w:val="20"/>
                      <w:szCs w:val="20"/>
                    </w:rPr>
                    <w:t xml:space="preserve"> po shemi davka na tonažo niso izpolnjeni, vključijo v sistem ugotavljanja davčne osnove davka od dohodkov pravnih oseb, ne več v polnem znesku ampak samo delno.</w:t>
                  </w:r>
                  <w:r w:rsidR="00EC2D4D" w:rsidRPr="00EF4A15">
                    <w:rPr>
                      <w:rFonts w:ascii="Arial" w:hAnsi="Arial" w:cs="Arial"/>
                      <w:sz w:val="20"/>
                      <w:szCs w:val="20"/>
                    </w:rPr>
                    <w:t xml:space="preserve"> To je</w:t>
                  </w:r>
                  <w:r w:rsidR="00635CC3" w:rsidRPr="00EF4A15">
                    <w:rPr>
                      <w:rFonts w:ascii="Arial" w:hAnsi="Arial" w:cs="Arial"/>
                      <w:sz w:val="20"/>
                      <w:szCs w:val="20"/>
                    </w:rPr>
                    <w:t xml:space="preserve"> </w:t>
                  </w:r>
                  <w:r w:rsidR="001A2407" w:rsidRPr="00EF4A15">
                    <w:rPr>
                      <w:rFonts w:ascii="Arial" w:hAnsi="Arial" w:cs="Arial"/>
                      <w:sz w:val="20"/>
                      <w:szCs w:val="20"/>
                    </w:rPr>
                    <w:t xml:space="preserve">za </w:t>
                  </w:r>
                  <w:r w:rsidR="00EC2D4D" w:rsidRPr="00EF4A15">
                    <w:rPr>
                      <w:rFonts w:ascii="Arial" w:hAnsi="Arial" w:cs="Arial"/>
                      <w:sz w:val="20"/>
                      <w:szCs w:val="20"/>
                    </w:rPr>
                    <w:t xml:space="preserve">pozitivno </w:t>
                  </w:r>
                  <w:r w:rsidR="001A2407" w:rsidRPr="00EF4A15">
                    <w:rPr>
                      <w:rFonts w:ascii="Arial" w:hAnsi="Arial" w:cs="Arial"/>
                      <w:sz w:val="20"/>
                      <w:szCs w:val="20"/>
                    </w:rPr>
                    <w:t xml:space="preserve">razliko med prodajno vrednostjo ladje in nabavno vrednostjo ladje, zmanjšano za do dneva prodaje obračunano amortizacijo, katere najnižja letna amortizacijska stopnja za namene tega izračuna znaša </w:t>
                  </w:r>
                  <w:r w:rsidR="00350A2E" w:rsidRPr="00350A2E">
                    <w:rPr>
                      <w:rFonts w:ascii="Arial" w:hAnsi="Arial" w:cs="Arial"/>
                      <w:sz w:val="20"/>
                      <w:szCs w:val="20"/>
                    </w:rPr>
                    <w:t xml:space="preserve">najmanj </w:t>
                  </w:r>
                  <w:r w:rsidR="001A2407" w:rsidRPr="00350A2E">
                    <w:rPr>
                      <w:rFonts w:ascii="Arial" w:hAnsi="Arial" w:cs="Arial"/>
                      <w:sz w:val="20"/>
                      <w:szCs w:val="20"/>
                    </w:rPr>
                    <w:t>4</w:t>
                  </w:r>
                  <w:r w:rsidR="00EF4A15" w:rsidRPr="00350A2E">
                    <w:rPr>
                      <w:rFonts w:ascii="Arial" w:hAnsi="Arial" w:cs="Arial"/>
                      <w:sz w:val="20"/>
                      <w:szCs w:val="20"/>
                    </w:rPr>
                    <w:t xml:space="preserve"> </w:t>
                  </w:r>
                  <w:r w:rsidR="001A2407" w:rsidRPr="00350A2E">
                    <w:rPr>
                      <w:rFonts w:ascii="Arial" w:hAnsi="Arial" w:cs="Arial"/>
                      <w:sz w:val="20"/>
                      <w:szCs w:val="20"/>
                    </w:rPr>
                    <w:t>%</w:t>
                  </w:r>
                  <w:r w:rsidR="001A2407" w:rsidRPr="00EF4A15">
                    <w:rPr>
                      <w:rFonts w:ascii="Arial" w:hAnsi="Arial" w:cs="Arial"/>
                      <w:sz w:val="20"/>
                      <w:szCs w:val="20"/>
                    </w:rPr>
                    <w:t xml:space="preserve"> nabavne vrednosti.</w:t>
                  </w:r>
                  <w:r w:rsidR="00EC2D4D" w:rsidRPr="00EF4A15">
                    <w:rPr>
                      <w:rFonts w:ascii="Arial" w:hAnsi="Arial" w:cs="Arial"/>
                      <w:sz w:val="20"/>
                      <w:szCs w:val="20"/>
                    </w:rPr>
                    <w:t xml:space="preserve"> S tem se nadgrajuje</w:t>
                  </w:r>
                  <w:r w:rsidR="00EF4A15" w:rsidRPr="00EF4A15">
                    <w:rPr>
                      <w:rFonts w:ascii="Arial" w:hAnsi="Arial" w:cs="Arial"/>
                      <w:sz w:val="20"/>
                      <w:szCs w:val="20"/>
                    </w:rPr>
                    <w:t xml:space="preserve"> obstoječo določbo (4. člen) Zakona o davku na tonažo, saj predlagana s</w:t>
                  </w:r>
                  <w:r w:rsidR="00635CC3" w:rsidRPr="00EF4A15">
                    <w:rPr>
                      <w:rFonts w:ascii="Arial" w:hAnsi="Arial" w:cs="Arial"/>
                      <w:sz w:val="20"/>
                      <w:szCs w:val="20"/>
                    </w:rPr>
                    <w:t>prememb</w:t>
                  </w:r>
                  <w:r w:rsidR="00EF4A15" w:rsidRPr="00EF4A15">
                    <w:rPr>
                      <w:rFonts w:ascii="Arial" w:hAnsi="Arial" w:cs="Arial"/>
                      <w:sz w:val="20"/>
                      <w:szCs w:val="20"/>
                    </w:rPr>
                    <w:t>a</w:t>
                  </w:r>
                  <w:r w:rsidR="00635CC3" w:rsidRPr="00EF4A15">
                    <w:rPr>
                      <w:rFonts w:ascii="Arial" w:hAnsi="Arial" w:cs="Arial"/>
                      <w:sz w:val="20"/>
                      <w:szCs w:val="20"/>
                    </w:rPr>
                    <w:t xml:space="preserve"> zavezanc</w:t>
                  </w:r>
                  <w:r w:rsidR="00A2163D">
                    <w:rPr>
                      <w:rFonts w:ascii="Arial" w:hAnsi="Arial" w:cs="Arial"/>
                      <w:sz w:val="20"/>
                      <w:szCs w:val="20"/>
                    </w:rPr>
                    <w:t>em</w:t>
                  </w:r>
                  <w:r w:rsidR="00635CC3" w:rsidRPr="00EF4A15">
                    <w:rPr>
                      <w:rFonts w:ascii="Arial" w:hAnsi="Arial" w:cs="Arial"/>
                      <w:sz w:val="20"/>
                      <w:szCs w:val="20"/>
                    </w:rPr>
                    <w:t xml:space="preserve"> omogoči upoštevanje okoliščin, ki so </w:t>
                  </w:r>
                  <w:r w:rsidR="009C625A">
                    <w:rPr>
                      <w:rFonts w:ascii="Arial" w:hAnsi="Arial" w:cs="Arial"/>
                      <w:sz w:val="20"/>
                      <w:szCs w:val="20"/>
                    </w:rPr>
                    <w:t>relevantne</w:t>
                  </w:r>
                  <w:r w:rsidR="00635CC3" w:rsidRPr="00EF4A15">
                    <w:rPr>
                      <w:rFonts w:ascii="Arial" w:hAnsi="Arial" w:cs="Arial"/>
                      <w:sz w:val="20"/>
                      <w:szCs w:val="20"/>
                    </w:rPr>
                    <w:t xml:space="preserve"> v sistemu davka na tonažo</w:t>
                  </w:r>
                  <w:r w:rsidR="009C625A">
                    <w:rPr>
                      <w:rFonts w:ascii="Arial" w:hAnsi="Arial" w:cs="Arial"/>
                      <w:sz w:val="20"/>
                      <w:szCs w:val="20"/>
                    </w:rPr>
                    <w:t>,</w:t>
                  </w:r>
                  <w:r w:rsidR="00635CC3" w:rsidRPr="00EF4A15">
                    <w:rPr>
                      <w:rFonts w:ascii="Arial" w:hAnsi="Arial" w:cs="Arial"/>
                      <w:sz w:val="20"/>
                      <w:szCs w:val="20"/>
                    </w:rPr>
                    <w:t xml:space="preserve"> vključno z značilnostmi panoge pomorskega prometa</w:t>
                  </w:r>
                  <w:r w:rsidR="00635CC3" w:rsidRPr="00EF4A15">
                    <w:rPr>
                      <w:rFonts w:ascii="Arial" w:eastAsia="Times New Roman" w:hAnsi="Arial" w:cs="Arial"/>
                      <w:sz w:val="20"/>
                      <w:lang w:eastAsia="sl-SI"/>
                    </w:rPr>
                    <w:t>.</w:t>
                  </w:r>
                  <w:r w:rsidR="00715ED4">
                    <w:rPr>
                      <w:rFonts w:ascii="Arial" w:eastAsia="Times New Roman" w:hAnsi="Arial" w:cs="Arial"/>
                      <w:sz w:val="20"/>
                      <w:lang w:eastAsia="sl-SI"/>
                    </w:rPr>
                    <w:t xml:space="preserve"> </w:t>
                  </w:r>
                  <w:r w:rsidR="00715ED4" w:rsidRPr="00715ED4">
                    <w:rPr>
                      <w:rFonts w:ascii="Arial" w:hAnsi="Arial" w:cs="Arial"/>
                      <w:sz w:val="20"/>
                      <w:szCs w:val="20"/>
                    </w:rPr>
                    <w:t>Omenjena rešitev se uporablja za dohodke od prodaje ladij, ki bodo nastali po podaljšanju sheme. Ne uporablja pa se za ladje, ki so bile prodane pred dnem podaljšanja sheme</w:t>
                  </w:r>
                  <w:r w:rsidR="00715ED4">
                    <w:rPr>
                      <w:rFonts w:ascii="Arial" w:hAnsi="Arial" w:cs="Arial"/>
                      <w:sz w:val="20"/>
                      <w:szCs w:val="20"/>
                    </w:rPr>
                    <w:t xml:space="preserve"> davka na tonažo</w:t>
                  </w:r>
                  <w:r w:rsidR="00715ED4" w:rsidRPr="00715ED4">
                    <w:rPr>
                      <w:rFonts w:ascii="Arial" w:hAnsi="Arial" w:cs="Arial"/>
                      <w:sz w:val="20"/>
                      <w:szCs w:val="20"/>
                    </w:rPr>
                    <w:t xml:space="preserve">. </w:t>
                  </w:r>
                </w:p>
                <w:p w14:paraId="2A231357" w14:textId="7DCD0CDA" w:rsidR="00635CC3" w:rsidRDefault="00635CC3" w:rsidP="00AD2A9F">
                  <w:pPr>
                    <w:pStyle w:val="Odsek"/>
                    <w:numPr>
                      <w:ilvl w:val="0"/>
                      <w:numId w:val="0"/>
                    </w:numPr>
                    <w:spacing w:before="0" w:after="0" w:line="260" w:lineRule="exact"/>
                    <w:jc w:val="both"/>
                    <w:rPr>
                      <w:rFonts w:cs="Arial"/>
                      <w:sz w:val="20"/>
                      <w:highlight w:val="yellow"/>
                      <w:lang w:val="sl-SI" w:eastAsia="sl-SI"/>
                    </w:rPr>
                  </w:pPr>
                </w:p>
                <w:p w14:paraId="70CE61EF" w14:textId="37ECF194" w:rsidR="00635CC3" w:rsidRPr="001A2407" w:rsidRDefault="00EF4A15" w:rsidP="00AD2A9F">
                  <w:pPr>
                    <w:pStyle w:val="Odsek"/>
                    <w:numPr>
                      <w:ilvl w:val="0"/>
                      <w:numId w:val="0"/>
                    </w:numPr>
                    <w:spacing w:before="0" w:after="0" w:line="260" w:lineRule="exact"/>
                    <w:jc w:val="both"/>
                    <w:rPr>
                      <w:rFonts w:eastAsia="Calibri" w:cs="Arial"/>
                      <w:b w:val="0"/>
                      <w:sz w:val="20"/>
                      <w:szCs w:val="20"/>
                      <w:lang w:val="sl-SI" w:eastAsia="en-US"/>
                    </w:rPr>
                  </w:pPr>
                  <w:r w:rsidRPr="00E2176E">
                    <w:rPr>
                      <w:rFonts w:cs="Arial"/>
                      <w:b w:val="0"/>
                      <w:sz w:val="20"/>
                      <w:lang w:val="sl-SI" w:eastAsia="sl-SI"/>
                    </w:rPr>
                    <w:lastRenderedPageBreak/>
                    <w:t>V nadaljevanju predlog zakona določa n</w:t>
                  </w:r>
                  <w:proofErr w:type="spellStart"/>
                  <w:r w:rsidR="00635CC3" w:rsidRPr="00E2176E">
                    <w:rPr>
                      <w:rFonts w:cs="Arial"/>
                      <w:b w:val="0"/>
                      <w:sz w:val="20"/>
                      <w:lang w:eastAsia="sl-SI"/>
                    </w:rPr>
                    <w:t>ekaj</w:t>
                  </w:r>
                  <w:proofErr w:type="spellEnd"/>
                  <w:r w:rsidR="00635CC3" w:rsidRPr="00E2176E">
                    <w:rPr>
                      <w:rFonts w:cs="Arial"/>
                      <w:b w:val="0"/>
                      <w:sz w:val="20"/>
                      <w:lang w:eastAsia="sl-SI"/>
                    </w:rPr>
                    <w:t xml:space="preserve"> manjših popravkov, ki </w:t>
                  </w:r>
                  <w:r w:rsidRPr="00E2176E">
                    <w:rPr>
                      <w:rFonts w:cs="Arial"/>
                      <w:b w:val="0"/>
                      <w:sz w:val="20"/>
                      <w:lang w:val="sl-SI" w:eastAsia="sl-SI"/>
                    </w:rPr>
                    <w:t>so</w:t>
                  </w:r>
                  <w:r w:rsidR="00635CC3" w:rsidRPr="00E2176E">
                    <w:rPr>
                      <w:rFonts w:cs="Arial"/>
                      <w:b w:val="0"/>
                      <w:sz w:val="20"/>
                      <w:lang w:eastAsia="sl-SI"/>
                    </w:rPr>
                    <w:t xml:space="preserve"> posledica ugotovitev v zvezi z izvajanjem zakona.</w:t>
                  </w:r>
                  <w:r w:rsidR="001A2407" w:rsidRPr="00E2176E">
                    <w:rPr>
                      <w:rFonts w:cs="Arial"/>
                      <w:b w:val="0"/>
                      <w:sz w:val="20"/>
                      <w:lang w:val="sl-SI" w:eastAsia="sl-SI"/>
                    </w:rPr>
                    <w:t xml:space="preserve"> Tako </w:t>
                  </w:r>
                  <w:r w:rsidRPr="00E2176E">
                    <w:rPr>
                      <w:rFonts w:cs="Arial"/>
                      <w:b w:val="0"/>
                      <w:sz w:val="20"/>
                      <w:lang w:val="sl-SI" w:eastAsia="sl-SI"/>
                    </w:rPr>
                    <w:t xml:space="preserve">se </w:t>
                  </w:r>
                  <w:r w:rsidR="001A2407" w:rsidRPr="00E2176E">
                    <w:rPr>
                      <w:rFonts w:cs="Arial"/>
                      <w:b w:val="0"/>
                      <w:sz w:val="20"/>
                      <w:lang w:val="sl-SI" w:eastAsia="sl-SI"/>
                    </w:rPr>
                    <w:t xml:space="preserve">v drugem </w:t>
                  </w:r>
                  <w:r w:rsidRPr="00E2176E">
                    <w:rPr>
                      <w:rFonts w:cs="Arial"/>
                      <w:b w:val="0"/>
                      <w:sz w:val="20"/>
                      <w:lang w:val="sl-SI" w:eastAsia="sl-SI"/>
                    </w:rPr>
                    <w:t xml:space="preserve">in tretjem </w:t>
                  </w:r>
                  <w:r w:rsidR="001A2407" w:rsidRPr="00E2176E">
                    <w:rPr>
                      <w:rFonts w:cs="Arial"/>
                      <w:b w:val="0"/>
                      <w:sz w:val="20"/>
                      <w:lang w:val="sl-SI" w:eastAsia="sl-SI"/>
                    </w:rPr>
                    <w:t>členu predloga zakona predlaga</w:t>
                  </w:r>
                  <w:r w:rsidRPr="00E2176E">
                    <w:rPr>
                      <w:rFonts w:cs="Arial"/>
                      <w:b w:val="0"/>
                      <w:sz w:val="20"/>
                      <w:lang w:val="sl-SI" w:eastAsia="sl-SI"/>
                    </w:rPr>
                    <w:t xml:space="preserve"> dopolnitvi</w:t>
                  </w:r>
                  <w:r w:rsidR="00561981" w:rsidRPr="00E2176E">
                    <w:rPr>
                      <w:rFonts w:cs="Arial"/>
                      <w:b w:val="0"/>
                      <w:sz w:val="20"/>
                      <w:lang w:val="sl-SI" w:eastAsia="sl-SI"/>
                    </w:rPr>
                    <w:t xml:space="preserve"> glede pogojev ladje </w:t>
                  </w:r>
                  <w:r w:rsidR="00A2163D">
                    <w:rPr>
                      <w:rFonts w:cs="Arial"/>
                      <w:b w:val="0"/>
                      <w:sz w:val="20"/>
                      <w:lang w:val="sl-SI" w:eastAsia="sl-SI"/>
                    </w:rPr>
                    <w:t>(9. člen</w:t>
                  </w:r>
                  <w:r w:rsidR="00A2163D" w:rsidRPr="00E2176E">
                    <w:rPr>
                      <w:rFonts w:cs="Arial"/>
                      <w:b w:val="0"/>
                      <w:sz w:val="20"/>
                      <w:lang w:val="sl-SI" w:eastAsia="sl-SI"/>
                    </w:rPr>
                    <w:t xml:space="preserve"> Zakona o davku na tonažo</w:t>
                  </w:r>
                  <w:r w:rsidR="00A2163D">
                    <w:rPr>
                      <w:rFonts w:cs="Arial"/>
                      <w:b w:val="0"/>
                      <w:sz w:val="20"/>
                      <w:lang w:val="sl-SI" w:eastAsia="sl-SI"/>
                    </w:rPr>
                    <w:t xml:space="preserve">) </w:t>
                  </w:r>
                  <w:r w:rsidR="00561981" w:rsidRPr="00E2176E">
                    <w:rPr>
                      <w:rFonts w:cs="Arial"/>
                      <w:b w:val="0"/>
                      <w:sz w:val="20"/>
                      <w:lang w:val="sl-SI" w:eastAsia="sl-SI"/>
                    </w:rPr>
                    <w:t>in zahteve</w:t>
                  </w:r>
                  <w:r w:rsidR="00A2163D">
                    <w:rPr>
                      <w:rFonts w:cs="Arial"/>
                      <w:b w:val="0"/>
                      <w:sz w:val="20"/>
                      <w:lang w:val="sl-SI" w:eastAsia="sl-SI"/>
                    </w:rPr>
                    <w:t xml:space="preserve"> </w:t>
                  </w:r>
                  <w:r w:rsidR="00561981" w:rsidRPr="00E2176E">
                    <w:rPr>
                      <w:rFonts w:cs="Arial"/>
                      <w:b w:val="0"/>
                      <w:sz w:val="20"/>
                      <w:lang w:val="sl-SI" w:eastAsia="sl-SI"/>
                    </w:rPr>
                    <w:t>glede zastave ladje</w:t>
                  </w:r>
                  <w:r w:rsidR="00A2163D">
                    <w:rPr>
                      <w:rFonts w:cs="Arial"/>
                      <w:b w:val="0"/>
                      <w:sz w:val="20"/>
                      <w:lang w:val="sl-SI" w:eastAsia="sl-SI"/>
                    </w:rPr>
                    <w:t xml:space="preserve"> (10. člen</w:t>
                  </w:r>
                  <w:r w:rsidR="00A2163D" w:rsidRPr="00E2176E">
                    <w:rPr>
                      <w:rFonts w:cs="Arial"/>
                      <w:b w:val="0"/>
                      <w:sz w:val="20"/>
                      <w:lang w:val="sl-SI" w:eastAsia="sl-SI"/>
                    </w:rPr>
                    <w:t xml:space="preserve"> Zakona o davku na tonažo</w:t>
                  </w:r>
                  <w:r w:rsidR="00A2163D">
                    <w:rPr>
                      <w:rFonts w:cs="Arial"/>
                      <w:b w:val="0"/>
                      <w:sz w:val="20"/>
                      <w:lang w:val="sl-SI" w:eastAsia="sl-SI"/>
                    </w:rPr>
                    <w:t>)</w:t>
                  </w:r>
                  <w:r w:rsidR="00561981" w:rsidRPr="00E2176E">
                    <w:rPr>
                      <w:rFonts w:cs="Arial"/>
                      <w:b w:val="0"/>
                      <w:sz w:val="20"/>
                      <w:lang w:val="sl-SI" w:eastAsia="sl-SI"/>
                    </w:rPr>
                    <w:t>, saj iz odločbe</w:t>
                  </w:r>
                  <w:r w:rsidR="009C625A">
                    <w:rPr>
                      <w:rFonts w:cs="Arial"/>
                      <w:b w:val="0"/>
                      <w:sz w:val="20"/>
                      <w:lang w:val="sl-SI" w:eastAsia="sl-SI"/>
                    </w:rPr>
                    <w:t>,</w:t>
                  </w:r>
                  <w:r w:rsidR="00561981" w:rsidRPr="00E2176E">
                    <w:rPr>
                      <w:rFonts w:cs="Arial"/>
                      <w:b w:val="0"/>
                      <w:sz w:val="20"/>
                      <w:lang w:val="sl-SI" w:eastAsia="sl-SI"/>
                    </w:rPr>
                    <w:t xml:space="preserve"> s katero je Evropska komisija odobrila državno pomoč</w:t>
                  </w:r>
                  <w:r w:rsidR="00E2176E" w:rsidRPr="00E2176E">
                    <w:rPr>
                      <w:rFonts w:cs="Arial"/>
                      <w:b w:val="0"/>
                      <w:sz w:val="20"/>
                      <w:lang w:val="sl-SI" w:eastAsia="sl-SI"/>
                    </w:rPr>
                    <w:t xml:space="preserve"> davka na tonažo</w:t>
                  </w:r>
                  <w:r w:rsidR="009C625A">
                    <w:rPr>
                      <w:rFonts w:cs="Arial"/>
                      <w:b w:val="0"/>
                      <w:sz w:val="20"/>
                      <w:lang w:val="sl-SI" w:eastAsia="sl-SI"/>
                    </w:rPr>
                    <w:t>,</w:t>
                  </w:r>
                  <w:r w:rsidR="00561981" w:rsidRPr="00E2176E">
                    <w:rPr>
                      <w:rFonts w:cs="Arial"/>
                      <w:b w:val="0"/>
                      <w:sz w:val="20"/>
                      <w:lang w:val="sl-SI" w:eastAsia="sl-SI"/>
                    </w:rPr>
                    <w:t xml:space="preserve"> izhaja, da pogoji ladje in zahteve glede zastave ladje veljajo tudi za države članice Evropskega gospodarskega prostora (EGP). Č</w:t>
                  </w:r>
                  <w:r w:rsidRPr="00E2176E">
                    <w:rPr>
                      <w:rFonts w:cs="Arial"/>
                      <w:b w:val="0"/>
                      <w:sz w:val="20"/>
                      <w:lang w:val="sl-SI" w:eastAsia="sl-SI"/>
                    </w:rPr>
                    <w:t>etrt</w:t>
                  </w:r>
                  <w:r w:rsidR="00561981" w:rsidRPr="00E2176E">
                    <w:rPr>
                      <w:rFonts w:cs="Arial"/>
                      <w:b w:val="0"/>
                      <w:sz w:val="20"/>
                      <w:lang w:val="sl-SI" w:eastAsia="sl-SI"/>
                    </w:rPr>
                    <w:t xml:space="preserve">i člen predloga zakona pa </w:t>
                  </w:r>
                  <w:r w:rsidR="001A2407" w:rsidRPr="00E2176E">
                    <w:rPr>
                      <w:rFonts w:cs="Arial"/>
                      <w:b w:val="0"/>
                      <w:sz w:val="20"/>
                      <w:lang w:val="sl-SI" w:eastAsia="sl-SI"/>
                    </w:rPr>
                    <w:t>predlaga popravek sklicevanja</w:t>
                  </w:r>
                  <w:r w:rsidR="00561981" w:rsidRPr="00E2176E">
                    <w:rPr>
                      <w:rFonts w:cs="Arial"/>
                      <w:b w:val="0"/>
                      <w:sz w:val="20"/>
                      <w:lang w:val="sl-SI" w:eastAsia="sl-SI"/>
                    </w:rPr>
                    <w:t xml:space="preserve"> zaradi spremembe petega odstavka 14</w:t>
                  </w:r>
                  <w:r w:rsidR="00E2176E" w:rsidRPr="00E2176E">
                    <w:rPr>
                      <w:rFonts w:cs="Arial"/>
                      <w:b w:val="0"/>
                      <w:sz w:val="20"/>
                      <w:lang w:val="sl-SI" w:eastAsia="sl-SI"/>
                    </w:rPr>
                    <w:t>.</w:t>
                  </w:r>
                  <w:r w:rsidR="00561981" w:rsidRPr="00E2176E">
                    <w:rPr>
                      <w:rFonts w:cs="Arial"/>
                      <w:b w:val="0"/>
                      <w:sz w:val="20"/>
                      <w:lang w:val="sl-SI" w:eastAsia="sl-SI"/>
                    </w:rPr>
                    <w:t xml:space="preserve"> člena</w:t>
                  </w:r>
                  <w:r w:rsidR="009C625A" w:rsidRPr="00EF4A15">
                    <w:rPr>
                      <w:rFonts w:cs="Arial"/>
                      <w:sz w:val="20"/>
                      <w:szCs w:val="20"/>
                    </w:rPr>
                    <w:t xml:space="preserve"> </w:t>
                  </w:r>
                  <w:r w:rsidR="009C625A" w:rsidRPr="009C625A">
                    <w:rPr>
                      <w:rFonts w:cs="Arial"/>
                      <w:b w:val="0"/>
                      <w:sz w:val="20"/>
                      <w:lang w:val="sl-SI" w:eastAsia="sl-SI"/>
                    </w:rPr>
                    <w:t>Zakona o davku na tonažo</w:t>
                  </w:r>
                  <w:r w:rsidR="00E2176E" w:rsidRPr="00E2176E">
                    <w:rPr>
                      <w:rFonts w:cs="Arial"/>
                      <w:b w:val="0"/>
                      <w:sz w:val="20"/>
                      <w:lang w:val="sl-SI" w:eastAsia="sl-SI"/>
                    </w:rPr>
                    <w:t>, ki je postal četrti odstavek</w:t>
                  </w:r>
                  <w:r w:rsidRPr="00E2176E">
                    <w:rPr>
                      <w:rFonts w:cs="Arial"/>
                      <w:b w:val="0"/>
                      <w:sz w:val="20"/>
                      <w:lang w:val="sl-SI" w:eastAsia="sl-SI"/>
                    </w:rPr>
                    <w:t xml:space="preserve">, </w:t>
                  </w:r>
                  <w:r w:rsidR="00E2176E" w:rsidRPr="00E2176E">
                    <w:rPr>
                      <w:rFonts w:cs="Arial"/>
                      <w:b w:val="0"/>
                      <w:sz w:val="20"/>
                      <w:lang w:val="sl-SI" w:eastAsia="sl-SI"/>
                    </w:rPr>
                    <w:t xml:space="preserve">slednje pa se ni ustrezno popravilo v prvem odstavku </w:t>
                  </w:r>
                  <w:proofErr w:type="spellStart"/>
                  <w:r w:rsidR="00E2176E" w:rsidRPr="00E2176E">
                    <w:rPr>
                      <w:rFonts w:cs="Arial"/>
                      <w:b w:val="0"/>
                      <w:sz w:val="20"/>
                      <w:lang w:val="sl-SI" w:eastAsia="sl-SI"/>
                    </w:rPr>
                    <w:t>15.člena</w:t>
                  </w:r>
                  <w:proofErr w:type="spellEnd"/>
                  <w:r w:rsidR="00E2176E" w:rsidRPr="00E2176E">
                    <w:rPr>
                      <w:rFonts w:cs="Arial"/>
                      <w:b w:val="0"/>
                      <w:sz w:val="20"/>
                      <w:lang w:val="sl-SI" w:eastAsia="sl-SI"/>
                    </w:rPr>
                    <w:t xml:space="preserve"> Zakona o davku na tonažo</w:t>
                  </w:r>
                  <w:r w:rsidR="001A2407" w:rsidRPr="00E2176E">
                    <w:rPr>
                      <w:rFonts w:cs="Arial"/>
                      <w:b w:val="0"/>
                      <w:sz w:val="20"/>
                      <w:lang w:val="sl-SI" w:eastAsia="sl-SI"/>
                    </w:rPr>
                    <w:t>.</w:t>
                  </w:r>
                </w:p>
                <w:p w14:paraId="7CA710C0" w14:textId="77777777" w:rsidR="00525E6E" w:rsidRDefault="00525E6E" w:rsidP="00AD2A9F">
                  <w:pPr>
                    <w:pStyle w:val="Odsek"/>
                    <w:numPr>
                      <w:ilvl w:val="0"/>
                      <w:numId w:val="0"/>
                    </w:numPr>
                    <w:spacing w:before="0" w:after="0" w:line="260" w:lineRule="exact"/>
                    <w:jc w:val="both"/>
                    <w:rPr>
                      <w:rFonts w:eastAsia="Calibri" w:cs="Arial"/>
                      <w:b w:val="0"/>
                      <w:sz w:val="20"/>
                      <w:szCs w:val="20"/>
                      <w:lang w:val="sl-SI" w:eastAsia="en-US"/>
                    </w:rPr>
                  </w:pPr>
                </w:p>
                <w:p w14:paraId="227AB163" w14:textId="37922744" w:rsidR="00E2176E" w:rsidRDefault="004C3084" w:rsidP="00AD2A9F">
                  <w:pPr>
                    <w:pStyle w:val="Odsek"/>
                    <w:numPr>
                      <w:ilvl w:val="0"/>
                      <w:numId w:val="0"/>
                    </w:numPr>
                    <w:spacing w:before="0" w:after="0" w:line="260" w:lineRule="exact"/>
                    <w:jc w:val="both"/>
                    <w:rPr>
                      <w:rFonts w:eastAsia="Calibri" w:cs="Arial"/>
                      <w:b w:val="0"/>
                      <w:sz w:val="20"/>
                      <w:szCs w:val="20"/>
                      <w:lang w:val="sl-SI" w:eastAsia="en-US"/>
                    </w:rPr>
                  </w:pPr>
                  <w:r>
                    <w:rPr>
                      <w:rFonts w:eastAsia="Calibri" w:cs="Arial"/>
                      <w:b w:val="0"/>
                      <w:sz w:val="20"/>
                      <w:szCs w:val="20"/>
                      <w:lang w:val="sl-SI" w:eastAsia="en-US"/>
                    </w:rPr>
                    <w:t xml:space="preserve">Pri predlogu zakona je predlagatelj sodeloval z zainteresirano javnostjo in sledil predlogom, ki so bili </w:t>
                  </w:r>
                  <w:r w:rsidR="009C625A">
                    <w:rPr>
                      <w:rFonts w:eastAsia="Calibri" w:cs="Arial"/>
                      <w:b w:val="0"/>
                      <w:sz w:val="20"/>
                      <w:szCs w:val="20"/>
                      <w:lang w:val="sl-SI" w:eastAsia="en-US"/>
                    </w:rPr>
                    <w:t xml:space="preserve">podani </w:t>
                  </w:r>
                  <w:r w:rsidR="00E2176E">
                    <w:rPr>
                      <w:rFonts w:eastAsia="Calibri" w:cs="Arial"/>
                      <w:b w:val="0"/>
                      <w:sz w:val="20"/>
                      <w:szCs w:val="20"/>
                      <w:lang w:val="sl-SI" w:eastAsia="en-US"/>
                    </w:rPr>
                    <w:t>s strani zainteresirane javnosti</w:t>
                  </w:r>
                  <w:r>
                    <w:rPr>
                      <w:rFonts w:eastAsia="Calibri" w:cs="Arial"/>
                      <w:b w:val="0"/>
                      <w:sz w:val="20"/>
                      <w:szCs w:val="20"/>
                      <w:lang w:val="sl-SI" w:eastAsia="en-US"/>
                    </w:rPr>
                    <w:t>.</w:t>
                  </w:r>
                </w:p>
                <w:p w14:paraId="3B9749A6" w14:textId="77777777" w:rsidR="00E2176E" w:rsidRPr="00E2176E" w:rsidRDefault="00E2176E" w:rsidP="00AD2A9F">
                  <w:pPr>
                    <w:pStyle w:val="Odsek"/>
                    <w:numPr>
                      <w:ilvl w:val="0"/>
                      <w:numId w:val="0"/>
                    </w:numPr>
                    <w:spacing w:before="0" w:after="0" w:line="260" w:lineRule="exact"/>
                    <w:jc w:val="both"/>
                    <w:rPr>
                      <w:rFonts w:eastAsia="Calibri" w:cs="Arial"/>
                      <w:b w:val="0"/>
                      <w:sz w:val="20"/>
                      <w:szCs w:val="20"/>
                      <w:lang w:val="sl-SI" w:eastAsia="en-US"/>
                    </w:rPr>
                  </w:pPr>
                </w:p>
                <w:p w14:paraId="77C56CEC" w14:textId="2E5111A0" w:rsidR="004C3084" w:rsidRPr="004C3084" w:rsidRDefault="004C3084" w:rsidP="00AD2A9F">
                  <w:pPr>
                    <w:jc w:val="both"/>
                    <w:rPr>
                      <w:rFonts w:ascii="Arial" w:hAnsi="Arial" w:cs="Arial"/>
                      <w:sz w:val="20"/>
                      <w:szCs w:val="20"/>
                    </w:rPr>
                  </w:pPr>
                  <w:r w:rsidRPr="004C3084">
                    <w:rPr>
                      <w:rFonts w:ascii="Arial" w:hAnsi="Arial" w:cs="Arial"/>
                      <w:sz w:val="20"/>
                      <w:szCs w:val="20"/>
                    </w:rPr>
                    <w:t>Predlog zakona sledi Smernicami Skupnosti o državnih pomočeh</w:t>
                  </w:r>
                  <w:r>
                    <w:rPr>
                      <w:rFonts w:ascii="Arial" w:hAnsi="Arial" w:cs="Arial"/>
                      <w:sz w:val="20"/>
                      <w:szCs w:val="20"/>
                    </w:rPr>
                    <w:t xml:space="preserve"> za pomorski promet.</w:t>
                  </w:r>
                </w:p>
              </w:tc>
            </w:tr>
            <w:tr w:rsidR="005C7977" w:rsidRPr="00415A84" w14:paraId="70AE9862" w14:textId="77777777" w:rsidTr="00766741">
              <w:trPr>
                <w:trHeight w:val="434"/>
              </w:trPr>
              <w:tc>
                <w:tcPr>
                  <w:tcW w:w="9213" w:type="dxa"/>
                </w:tcPr>
                <w:p w14:paraId="4BBA2294" w14:textId="2C4B1DB5" w:rsidR="005C7977" w:rsidRPr="00350A2E" w:rsidRDefault="00DD0E22" w:rsidP="00AD2A9F">
                  <w:pPr>
                    <w:pStyle w:val="Odsek"/>
                    <w:numPr>
                      <w:ilvl w:val="0"/>
                      <w:numId w:val="0"/>
                    </w:numPr>
                    <w:spacing w:before="0" w:after="0" w:line="260" w:lineRule="exact"/>
                    <w:jc w:val="both"/>
                    <w:rPr>
                      <w:rFonts w:eastAsia="Calibri" w:cs="Arial"/>
                      <w:b w:val="0"/>
                      <w:sz w:val="20"/>
                      <w:szCs w:val="20"/>
                      <w:lang w:val="sl-SI" w:eastAsia="en-US"/>
                    </w:rPr>
                  </w:pPr>
                  <w:r w:rsidRPr="00350A2E">
                    <w:rPr>
                      <w:rFonts w:eastAsia="Calibri" w:cs="Arial"/>
                      <w:b w:val="0"/>
                      <w:sz w:val="20"/>
                      <w:szCs w:val="20"/>
                      <w:lang w:val="sl-SI" w:eastAsia="en-US"/>
                    </w:rPr>
                    <w:lastRenderedPageBreak/>
                    <w:t xml:space="preserve">Predlog zakona se bo obravnaval skupaj </w:t>
                  </w:r>
                  <w:r w:rsidR="009C625A" w:rsidRPr="00350A2E">
                    <w:rPr>
                      <w:rFonts w:eastAsia="Calibri" w:cs="Arial"/>
                      <w:b w:val="0"/>
                      <w:sz w:val="20"/>
                      <w:szCs w:val="20"/>
                      <w:lang w:val="sl-SI" w:eastAsia="en-US"/>
                    </w:rPr>
                    <w:t>s</w:t>
                  </w:r>
                  <w:r w:rsidRPr="00350A2E">
                    <w:rPr>
                      <w:rFonts w:eastAsia="Calibri" w:cs="Arial"/>
                      <w:b w:val="0"/>
                      <w:sz w:val="20"/>
                      <w:szCs w:val="20"/>
                      <w:lang w:val="sl-SI" w:eastAsia="en-US"/>
                    </w:rPr>
                    <w:t xml:space="preserve"> predlogi sprememb davčne zakonodaje v letu 2017.</w:t>
                  </w:r>
                </w:p>
                <w:p w14:paraId="4DD14771" w14:textId="62A76AD4" w:rsidR="00DD0E22" w:rsidRPr="00350A2E" w:rsidRDefault="00DD0E22" w:rsidP="00AD2A9F">
                  <w:pPr>
                    <w:pStyle w:val="Alineazatoko"/>
                    <w:spacing w:line="260" w:lineRule="exact"/>
                    <w:ind w:left="0" w:firstLine="0"/>
                    <w:rPr>
                      <w:rFonts w:cs="Arial"/>
                      <w:lang w:val="sl-SI" w:eastAsia="en-US"/>
                    </w:rPr>
                  </w:pPr>
                </w:p>
              </w:tc>
            </w:tr>
            <w:tr w:rsidR="005C7977" w:rsidRPr="00415A84" w14:paraId="55B2D07A" w14:textId="77777777" w:rsidTr="00766741">
              <w:tc>
                <w:tcPr>
                  <w:tcW w:w="9213" w:type="dxa"/>
                </w:tcPr>
                <w:p w14:paraId="5A14E397" w14:textId="6647737A" w:rsidR="005C7977" w:rsidRPr="00DD0E22" w:rsidRDefault="005C7977" w:rsidP="00216268">
                  <w:pPr>
                    <w:pStyle w:val="Oddelek"/>
                    <w:numPr>
                      <w:ilvl w:val="0"/>
                      <w:numId w:val="0"/>
                    </w:numPr>
                    <w:spacing w:before="0" w:after="0" w:line="260" w:lineRule="exact"/>
                    <w:jc w:val="both"/>
                    <w:rPr>
                      <w:rFonts w:eastAsia="Calibri" w:cs="Arial"/>
                      <w:sz w:val="20"/>
                      <w:szCs w:val="20"/>
                      <w:lang w:val="sl-SI" w:eastAsia="en-US"/>
                    </w:rPr>
                  </w:pPr>
                  <w:r w:rsidRPr="00DD0E22">
                    <w:rPr>
                      <w:rFonts w:eastAsia="Calibri" w:cs="Arial"/>
                      <w:sz w:val="20"/>
                      <w:szCs w:val="20"/>
                      <w:lang w:val="sl-SI" w:eastAsia="en-US"/>
                    </w:rPr>
                    <w:t>3. OCENA FINANČNIH POSLEDIC PREDLOGA ZAKONA ZA DRŽAVNI PRORAČUN IN DRUGA JAVNA FINANČNA SREDSTVA</w:t>
                  </w:r>
                  <w:r w:rsidR="006B0130" w:rsidRPr="00DD0E22">
                    <w:rPr>
                      <w:rFonts w:eastAsia="Calibri" w:cs="Arial"/>
                      <w:sz w:val="20"/>
                      <w:szCs w:val="20"/>
                      <w:lang w:val="sl-SI" w:eastAsia="en-US"/>
                    </w:rPr>
                    <w:t xml:space="preserve"> </w:t>
                  </w:r>
                </w:p>
                <w:p w14:paraId="6E6BF48A" w14:textId="77777777" w:rsidR="00216268" w:rsidRDefault="00216268" w:rsidP="00216268">
                  <w:pPr>
                    <w:pStyle w:val="Oddelek"/>
                    <w:numPr>
                      <w:ilvl w:val="0"/>
                      <w:numId w:val="0"/>
                    </w:numPr>
                    <w:spacing w:before="0" w:after="0" w:line="260" w:lineRule="exact"/>
                    <w:jc w:val="both"/>
                    <w:rPr>
                      <w:rFonts w:eastAsia="Calibri" w:cs="Arial"/>
                      <w:b w:val="0"/>
                      <w:sz w:val="20"/>
                      <w:szCs w:val="20"/>
                      <w:lang w:val="sl-SI" w:eastAsia="en-US"/>
                    </w:rPr>
                  </w:pPr>
                </w:p>
                <w:p w14:paraId="7518DBBD" w14:textId="63D5E33E" w:rsidR="00216268" w:rsidRPr="00415A84" w:rsidRDefault="00216268" w:rsidP="00E2176E">
                  <w:pPr>
                    <w:pStyle w:val="Oddelek"/>
                    <w:numPr>
                      <w:ilvl w:val="0"/>
                      <w:numId w:val="0"/>
                    </w:numPr>
                    <w:spacing w:before="0" w:after="0" w:line="260" w:lineRule="exact"/>
                    <w:jc w:val="both"/>
                    <w:rPr>
                      <w:rFonts w:eastAsia="Calibri" w:cs="Arial"/>
                      <w:b w:val="0"/>
                      <w:sz w:val="20"/>
                      <w:szCs w:val="20"/>
                      <w:lang w:val="sl-SI" w:eastAsia="en-US"/>
                    </w:rPr>
                  </w:pPr>
                  <w:r w:rsidRPr="00905B69">
                    <w:rPr>
                      <w:rFonts w:eastAsia="Calibri" w:cs="Arial"/>
                      <w:b w:val="0"/>
                      <w:sz w:val="20"/>
                      <w:szCs w:val="20"/>
                      <w:lang w:val="sl-SI" w:eastAsia="en-US"/>
                    </w:rPr>
                    <w:t xml:space="preserve">Predlog zakona, ne bo imel posledic na državni proračun ali druga </w:t>
                  </w:r>
                  <w:proofErr w:type="spellStart"/>
                  <w:r w:rsidRPr="00905B69">
                    <w:rPr>
                      <w:rFonts w:eastAsia="Calibri" w:cs="Arial"/>
                      <w:b w:val="0"/>
                      <w:sz w:val="20"/>
                      <w:szCs w:val="20"/>
                      <w:lang w:val="sl-SI" w:eastAsia="en-US"/>
                    </w:rPr>
                    <w:t>javnofinačna</w:t>
                  </w:r>
                  <w:proofErr w:type="spellEnd"/>
                  <w:r w:rsidRPr="00905B69">
                    <w:rPr>
                      <w:rFonts w:eastAsia="Calibri" w:cs="Arial"/>
                      <w:b w:val="0"/>
                      <w:sz w:val="20"/>
                      <w:szCs w:val="20"/>
                      <w:lang w:val="sl-SI" w:eastAsia="en-US"/>
                    </w:rPr>
                    <w:t xml:space="preserve"> sredstva.</w:t>
                  </w:r>
                </w:p>
              </w:tc>
            </w:tr>
            <w:tr w:rsidR="005C7977" w:rsidRPr="00415A84" w14:paraId="2848BD4B" w14:textId="77777777" w:rsidTr="00766741">
              <w:tc>
                <w:tcPr>
                  <w:tcW w:w="9213" w:type="dxa"/>
                </w:tcPr>
                <w:p w14:paraId="30181E22" w14:textId="77777777" w:rsidR="005C7977" w:rsidRPr="00415A84" w:rsidRDefault="005C7977" w:rsidP="00216268">
                  <w:pPr>
                    <w:pStyle w:val="Alineazaodstavkom"/>
                    <w:numPr>
                      <w:ilvl w:val="0"/>
                      <w:numId w:val="0"/>
                    </w:numPr>
                    <w:spacing w:line="260" w:lineRule="exact"/>
                    <w:rPr>
                      <w:rFonts w:eastAsia="Calibri" w:cs="Arial"/>
                      <w:sz w:val="20"/>
                      <w:szCs w:val="20"/>
                      <w:lang w:val="sl-SI" w:eastAsia="en-US"/>
                    </w:rPr>
                  </w:pPr>
                </w:p>
              </w:tc>
            </w:tr>
            <w:tr w:rsidR="005C7977" w:rsidRPr="00415A84" w14:paraId="5B72F999" w14:textId="77777777" w:rsidTr="00766741">
              <w:tc>
                <w:tcPr>
                  <w:tcW w:w="9213" w:type="dxa"/>
                </w:tcPr>
                <w:p w14:paraId="7C85C057" w14:textId="77777777" w:rsidR="005C7977" w:rsidRPr="00DD0E22" w:rsidRDefault="005C7977" w:rsidP="00216268">
                  <w:pPr>
                    <w:pStyle w:val="Oddelek"/>
                    <w:numPr>
                      <w:ilvl w:val="0"/>
                      <w:numId w:val="0"/>
                    </w:numPr>
                    <w:spacing w:before="0" w:after="0" w:line="260" w:lineRule="exact"/>
                    <w:jc w:val="both"/>
                    <w:rPr>
                      <w:rFonts w:eastAsia="Calibri" w:cs="Arial"/>
                      <w:sz w:val="20"/>
                      <w:szCs w:val="20"/>
                      <w:lang w:val="sl-SI" w:eastAsia="en-US"/>
                    </w:rPr>
                  </w:pPr>
                  <w:r w:rsidRPr="00DD0E22">
                    <w:rPr>
                      <w:rFonts w:eastAsia="Calibri" w:cs="Arial"/>
                      <w:sz w:val="20"/>
                      <w:szCs w:val="20"/>
                      <w:lang w:val="sl-SI" w:eastAsia="en-US"/>
                    </w:rPr>
                    <w:t>4. NAVEDBA, DA SO SREDSTVA ZA IZVAJANJE ZAKONA V DRŽAVNEM PRORAČUNU ZAGOTOVLJENA, ČE PREDLOG ZAKONA PREDVIDEVA PORABO PRORAČUNSKIH SREDSTEV V OBDOBJU, ZA KATERO JE BIL DRŽAVNI PRORAČUN ŽE SPREJET</w:t>
                  </w:r>
                  <w:r w:rsidR="006B0130" w:rsidRPr="00DD0E22">
                    <w:rPr>
                      <w:rFonts w:eastAsia="Calibri" w:cs="Arial"/>
                      <w:sz w:val="20"/>
                      <w:szCs w:val="20"/>
                      <w:lang w:val="sl-SI" w:eastAsia="en-US"/>
                    </w:rPr>
                    <w:t xml:space="preserve"> </w:t>
                  </w:r>
                </w:p>
                <w:p w14:paraId="0992AFE7" w14:textId="29D8C837" w:rsidR="00216268" w:rsidRPr="00DD0E22" w:rsidRDefault="00216268" w:rsidP="00216268">
                  <w:pPr>
                    <w:pStyle w:val="Oddelek"/>
                    <w:numPr>
                      <w:ilvl w:val="0"/>
                      <w:numId w:val="0"/>
                    </w:numPr>
                    <w:spacing w:before="0" w:after="0" w:line="260" w:lineRule="exact"/>
                    <w:jc w:val="both"/>
                    <w:rPr>
                      <w:rFonts w:eastAsia="Calibri" w:cs="Arial"/>
                      <w:sz w:val="20"/>
                      <w:szCs w:val="20"/>
                      <w:lang w:val="sl-SI" w:eastAsia="en-US"/>
                    </w:rPr>
                  </w:pPr>
                </w:p>
              </w:tc>
            </w:tr>
            <w:tr w:rsidR="005C7977" w:rsidRPr="00415A84" w14:paraId="51258908" w14:textId="77777777" w:rsidTr="00766741">
              <w:tc>
                <w:tcPr>
                  <w:tcW w:w="9213" w:type="dxa"/>
                </w:tcPr>
                <w:p w14:paraId="6EE7AC09" w14:textId="48BFBB19" w:rsidR="00BA6E70" w:rsidRPr="00D55AB6" w:rsidRDefault="00BA6E70" w:rsidP="00BA6E7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55AB6">
                    <w:rPr>
                      <w:rFonts w:ascii="Arial" w:eastAsia="Times New Roman" w:hAnsi="Arial" w:cs="Arial"/>
                      <w:sz w:val="20"/>
                      <w:szCs w:val="20"/>
                      <w:lang w:eastAsia="sl-SI"/>
                    </w:rPr>
                    <w:t xml:space="preserve">Za izvajanje </w:t>
                  </w:r>
                  <w:r>
                    <w:rPr>
                      <w:rFonts w:ascii="Arial" w:eastAsia="Times New Roman" w:hAnsi="Arial" w:cs="Arial"/>
                      <w:sz w:val="20"/>
                      <w:szCs w:val="20"/>
                      <w:lang w:eastAsia="sl-SI"/>
                    </w:rPr>
                    <w:t xml:space="preserve">predloga </w:t>
                  </w:r>
                  <w:r w:rsidRPr="00D55AB6">
                    <w:rPr>
                      <w:rFonts w:ascii="Arial" w:eastAsia="Times New Roman" w:hAnsi="Arial" w:cs="Arial"/>
                      <w:sz w:val="20"/>
                      <w:szCs w:val="20"/>
                      <w:lang w:eastAsia="sl-SI"/>
                    </w:rPr>
                    <w:t>zakona ne bodo potrebna dodatna proračunska sredstva.</w:t>
                  </w:r>
                  <w:r w:rsidRPr="00D55AB6">
                    <w:rPr>
                      <w:rFonts w:ascii="Arial" w:eastAsia="Times New Roman" w:hAnsi="Arial" w:cs="Arial"/>
                      <w:sz w:val="20"/>
                      <w:szCs w:val="20"/>
                      <w:lang w:eastAsia="sl-SI"/>
                    </w:rPr>
                    <w:tab/>
                  </w:r>
                </w:p>
                <w:p w14:paraId="0DF37D96" w14:textId="574CC87F" w:rsidR="00216268" w:rsidRPr="00415A84" w:rsidRDefault="00216268" w:rsidP="00216268">
                  <w:pPr>
                    <w:pStyle w:val="Alineazaodstavkom"/>
                    <w:numPr>
                      <w:ilvl w:val="0"/>
                      <w:numId w:val="0"/>
                    </w:numPr>
                    <w:spacing w:line="260" w:lineRule="exact"/>
                    <w:ind w:left="34"/>
                    <w:rPr>
                      <w:rFonts w:eastAsia="Calibri" w:cs="Arial"/>
                      <w:sz w:val="20"/>
                      <w:szCs w:val="20"/>
                      <w:lang w:val="sl-SI" w:eastAsia="en-US"/>
                    </w:rPr>
                  </w:pPr>
                </w:p>
              </w:tc>
            </w:tr>
            <w:tr w:rsidR="005C7977" w:rsidRPr="00415A84" w14:paraId="2C1EB63A" w14:textId="77777777" w:rsidTr="00766741">
              <w:tc>
                <w:tcPr>
                  <w:tcW w:w="9213" w:type="dxa"/>
                </w:tcPr>
                <w:p w14:paraId="21EED67A" w14:textId="77777777" w:rsidR="005C7977" w:rsidRPr="00DD0E22" w:rsidRDefault="005C7977" w:rsidP="00766741">
                  <w:pPr>
                    <w:pStyle w:val="Oddelek"/>
                    <w:numPr>
                      <w:ilvl w:val="0"/>
                      <w:numId w:val="0"/>
                    </w:numPr>
                    <w:spacing w:before="0" w:after="0" w:line="260" w:lineRule="exact"/>
                    <w:jc w:val="both"/>
                    <w:rPr>
                      <w:rFonts w:eastAsia="Calibri" w:cs="Arial"/>
                      <w:sz w:val="20"/>
                      <w:szCs w:val="20"/>
                      <w:lang w:val="sl-SI" w:eastAsia="en-US"/>
                    </w:rPr>
                  </w:pPr>
                  <w:r w:rsidRPr="00DD0E22">
                    <w:rPr>
                      <w:rFonts w:eastAsia="Calibri" w:cs="Arial"/>
                      <w:sz w:val="20"/>
                      <w:szCs w:val="20"/>
                      <w:lang w:val="sl-SI" w:eastAsia="en-US"/>
                    </w:rPr>
                    <w:t>5. PRIKAZ UREDITVE V DRUGIH PRAVNIH SISTEMIH IN PRILAGOJENOSTI PREDLAGANE UREDITVE PRAVU EVROPSKE UNIJE</w:t>
                  </w:r>
                </w:p>
                <w:p w14:paraId="2806E8D3" w14:textId="01B0ECD8" w:rsidR="006B0130" w:rsidRPr="00415A84" w:rsidRDefault="006B0130" w:rsidP="00A2163D">
                  <w:pPr>
                    <w:pStyle w:val="Oddelek"/>
                    <w:numPr>
                      <w:ilvl w:val="0"/>
                      <w:numId w:val="0"/>
                    </w:numPr>
                    <w:spacing w:before="0" w:after="0" w:line="260" w:lineRule="exact"/>
                    <w:jc w:val="both"/>
                    <w:rPr>
                      <w:rFonts w:eastAsia="Calibri" w:cs="Arial"/>
                      <w:b w:val="0"/>
                      <w:sz w:val="20"/>
                      <w:szCs w:val="20"/>
                      <w:lang w:val="sl-SI" w:eastAsia="en-US"/>
                    </w:rPr>
                  </w:pPr>
                </w:p>
              </w:tc>
            </w:tr>
            <w:tr w:rsidR="005C7977" w:rsidRPr="00ED5FC1" w14:paraId="43E3295E" w14:textId="77777777" w:rsidTr="00766741">
              <w:tc>
                <w:tcPr>
                  <w:tcW w:w="9213" w:type="dxa"/>
                </w:tcPr>
                <w:p w14:paraId="19B90D07" w14:textId="369F6C8A" w:rsidR="00216268" w:rsidRPr="00ED5FC1" w:rsidRDefault="006B0130" w:rsidP="006B0130">
                  <w:pPr>
                    <w:rPr>
                      <w:rFonts w:ascii="Arial" w:eastAsia="Times New Roman" w:hAnsi="Arial" w:cs="Arial"/>
                      <w:sz w:val="20"/>
                      <w:lang w:eastAsia="sl-SI"/>
                    </w:rPr>
                  </w:pPr>
                  <w:r w:rsidRPr="00BA6E70">
                    <w:rPr>
                      <w:rFonts w:ascii="Arial" w:eastAsia="Times New Roman" w:hAnsi="Arial" w:cs="Arial"/>
                      <w:sz w:val="20"/>
                      <w:lang w:eastAsia="sl-SI"/>
                    </w:rPr>
                    <w:t>Predlog zakona je usklajen s Smernicami Skupnosti o držav</w:t>
                  </w:r>
                  <w:r w:rsidR="00216268" w:rsidRPr="00BA6E70">
                    <w:rPr>
                      <w:rFonts w:ascii="Arial" w:eastAsia="Times New Roman" w:hAnsi="Arial" w:cs="Arial"/>
                      <w:sz w:val="20"/>
                      <w:lang w:eastAsia="sl-SI"/>
                    </w:rPr>
                    <w:t>nih pomočeh za pomorski promet.</w:t>
                  </w:r>
                </w:p>
                <w:p w14:paraId="1608DEFF" w14:textId="12C9A7AC" w:rsidR="00FA565E" w:rsidRPr="00ED5FC1" w:rsidRDefault="006B0130" w:rsidP="00216268">
                  <w:pPr>
                    <w:jc w:val="both"/>
                    <w:rPr>
                      <w:rFonts w:ascii="Arial" w:eastAsia="Times New Roman" w:hAnsi="Arial" w:cs="Arial"/>
                      <w:sz w:val="20"/>
                      <w:lang w:eastAsia="sl-SI"/>
                    </w:rPr>
                  </w:pPr>
                  <w:r w:rsidRPr="00BA6E70">
                    <w:rPr>
                      <w:rFonts w:ascii="Arial" w:eastAsia="Times New Roman" w:hAnsi="Arial" w:cs="Arial"/>
                      <w:b/>
                      <w:sz w:val="20"/>
                      <w:lang w:eastAsia="sl-SI"/>
                    </w:rPr>
                    <w:t>Združeno kraljestvo</w:t>
                  </w:r>
                  <w:r w:rsidRPr="00ED5FC1">
                    <w:rPr>
                      <w:rFonts w:ascii="Arial" w:eastAsia="Times New Roman" w:hAnsi="Arial" w:cs="Arial"/>
                      <w:sz w:val="20"/>
                      <w:lang w:eastAsia="sl-SI"/>
                    </w:rPr>
                    <w:t xml:space="preserve"> </w:t>
                  </w:r>
                  <w:r w:rsidR="00ED5FC1">
                    <w:rPr>
                      <w:rFonts w:ascii="Arial" w:eastAsia="Times New Roman" w:hAnsi="Arial" w:cs="Arial"/>
                      <w:sz w:val="20"/>
                      <w:lang w:eastAsia="sl-SI"/>
                    </w:rPr>
                    <w:t xml:space="preserve">(Vir: </w:t>
                  </w:r>
                  <w:r w:rsidR="00BA6E70">
                    <w:rPr>
                      <w:rFonts w:ascii="Arial" w:eastAsia="Times New Roman" w:hAnsi="Arial" w:cs="Arial"/>
                      <w:sz w:val="20"/>
                      <w:lang w:eastAsia="sl-SI"/>
                    </w:rPr>
                    <w:t xml:space="preserve">zbirka </w:t>
                  </w:r>
                  <w:r w:rsidR="00ED5FC1">
                    <w:rPr>
                      <w:rFonts w:ascii="Arial" w:eastAsia="Times New Roman" w:hAnsi="Arial" w:cs="Arial"/>
                      <w:sz w:val="20"/>
                      <w:lang w:eastAsia="sl-SI"/>
                    </w:rPr>
                    <w:t>IBFD 2017)</w:t>
                  </w:r>
                </w:p>
                <w:p w14:paraId="08CEDBB1" w14:textId="1AC1B4E4" w:rsidR="00FA565E" w:rsidRPr="00ED5FC1" w:rsidRDefault="00FA565E" w:rsidP="00216268">
                  <w:pPr>
                    <w:jc w:val="both"/>
                    <w:rPr>
                      <w:rFonts w:ascii="Arial" w:eastAsia="Times New Roman" w:hAnsi="Arial" w:cs="Arial"/>
                      <w:sz w:val="20"/>
                      <w:lang w:eastAsia="sl-SI"/>
                    </w:rPr>
                  </w:pPr>
                  <w:r w:rsidRPr="00ED5FC1">
                    <w:rPr>
                      <w:rFonts w:ascii="Arial" w:eastAsia="Times New Roman" w:hAnsi="Arial" w:cs="Arial"/>
                      <w:sz w:val="20"/>
                      <w:lang w:eastAsia="sl-SI"/>
                    </w:rPr>
                    <w:t>Obstaja poseben ugoden režim za ladijski promet, pri čemer se davek od dobičkov</w:t>
                  </w:r>
                  <w:r w:rsidR="00B80577">
                    <w:rPr>
                      <w:rFonts w:ascii="Arial" w:eastAsia="Times New Roman" w:hAnsi="Arial" w:cs="Arial"/>
                      <w:sz w:val="20"/>
                      <w:lang w:eastAsia="sl-SI"/>
                    </w:rPr>
                    <w:t>,</w:t>
                  </w:r>
                  <w:r w:rsidRPr="00ED5FC1">
                    <w:rPr>
                      <w:rFonts w:ascii="Arial" w:eastAsia="Times New Roman" w:hAnsi="Arial" w:cs="Arial"/>
                      <w:sz w:val="20"/>
                      <w:lang w:eastAsia="sl-SI"/>
                    </w:rPr>
                    <w:t xml:space="preserve"> doseženih iz naslova poslovanja ladij in povezanih dejavnostih</w:t>
                  </w:r>
                  <w:r w:rsidR="00B80577">
                    <w:rPr>
                      <w:rFonts w:ascii="Arial" w:eastAsia="Times New Roman" w:hAnsi="Arial" w:cs="Arial"/>
                      <w:sz w:val="20"/>
                      <w:lang w:eastAsia="sl-SI"/>
                    </w:rPr>
                    <w:t>,</w:t>
                  </w:r>
                  <w:r w:rsidRPr="00ED5FC1">
                    <w:rPr>
                      <w:rFonts w:ascii="Arial" w:eastAsia="Times New Roman" w:hAnsi="Arial" w:cs="Arial"/>
                      <w:sz w:val="20"/>
                      <w:lang w:eastAsia="sl-SI"/>
                    </w:rPr>
                    <w:t xml:space="preserve"> ne izračuna kot davek od dohodkov pravnih oseb ampak pavšalno kot dobiček iz naslova davka na tonažo, ki se ga izračuna glede na neto tonažo ladij, ki jih upravlja določena družba. Obstajajo natančne</w:t>
                  </w:r>
                  <w:r w:rsidR="00ED5FC1">
                    <w:rPr>
                      <w:rFonts w:ascii="Arial" w:eastAsia="Times New Roman" w:hAnsi="Arial" w:cs="Arial"/>
                      <w:sz w:val="20"/>
                      <w:lang w:eastAsia="sl-SI"/>
                    </w:rPr>
                    <w:t xml:space="preserve"> razmejitvene</w:t>
                  </w:r>
                  <w:r w:rsidRPr="00ED5FC1">
                    <w:rPr>
                      <w:rFonts w:ascii="Arial" w:eastAsia="Times New Roman" w:hAnsi="Arial" w:cs="Arial"/>
                      <w:sz w:val="20"/>
                      <w:lang w:eastAsia="sl-SI"/>
                    </w:rPr>
                    <w:t xml:space="preserve"> določbe, ki </w:t>
                  </w:r>
                  <w:r w:rsidR="00ED5FC1">
                    <w:rPr>
                      <w:rFonts w:ascii="Arial" w:eastAsia="Times New Roman" w:hAnsi="Arial" w:cs="Arial"/>
                      <w:sz w:val="20"/>
                      <w:lang w:eastAsia="sl-SI"/>
                    </w:rPr>
                    <w:t xml:space="preserve">iz davka na tonažo izključijo druge </w:t>
                  </w:r>
                  <w:proofErr w:type="spellStart"/>
                  <w:r w:rsidR="00ED5FC1">
                    <w:rPr>
                      <w:rFonts w:ascii="Arial" w:eastAsia="Times New Roman" w:hAnsi="Arial" w:cs="Arial"/>
                      <w:sz w:val="20"/>
                      <w:lang w:eastAsia="sl-SI"/>
                    </w:rPr>
                    <w:t>dejavnsti</w:t>
                  </w:r>
                  <w:proofErr w:type="spellEnd"/>
                  <w:r w:rsidR="00ED5FC1">
                    <w:rPr>
                      <w:rFonts w:ascii="Arial" w:eastAsia="Times New Roman" w:hAnsi="Arial" w:cs="Arial"/>
                      <w:sz w:val="20"/>
                      <w:lang w:eastAsia="sl-SI"/>
                    </w:rPr>
                    <w:t>, ki jih opravlja družba.</w:t>
                  </w:r>
                </w:p>
                <w:p w14:paraId="4A16EB03" w14:textId="5D32385D" w:rsidR="00ED5FC1" w:rsidRDefault="00ED5FC1" w:rsidP="00216268">
                  <w:pPr>
                    <w:autoSpaceDE w:val="0"/>
                    <w:autoSpaceDN w:val="0"/>
                    <w:adjustRightInd w:val="0"/>
                    <w:jc w:val="both"/>
                    <w:rPr>
                      <w:rFonts w:ascii="Arial" w:eastAsia="Times New Roman" w:hAnsi="Arial" w:cs="Arial"/>
                      <w:sz w:val="20"/>
                      <w:lang w:eastAsia="sl-SI"/>
                    </w:rPr>
                  </w:pPr>
                  <w:r w:rsidRPr="00BA6E70">
                    <w:rPr>
                      <w:rFonts w:ascii="Arial" w:eastAsia="Times New Roman" w:hAnsi="Arial" w:cs="Arial"/>
                      <w:b/>
                      <w:sz w:val="20"/>
                      <w:lang w:eastAsia="sl-SI"/>
                    </w:rPr>
                    <w:t>Italija</w:t>
                  </w:r>
                  <w:r>
                    <w:rPr>
                      <w:rFonts w:ascii="Arial" w:eastAsia="Times New Roman" w:hAnsi="Arial" w:cs="Arial"/>
                      <w:sz w:val="20"/>
                      <w:lang w:eastAsia="sl-SI"/>
                    </w:rPr>
                    <w:t xml:space="preserve"> (Vir:</w:t>
                  </w:r>
                  <w:r w:rsidR="00BA6E70">
                    <w:rPr>
                      <w:rFonts w:ascii="Arial" w:eastAsia="Times New Roman" w:hAnsi="Arial" w:cs="Arial"/>
                      <w:sz w:val="20"/>
                      <w:lang w:eastAsia="sl-SI"/>
                    </w:rPr>
                    <w:t xml:space="preserve"> zbirka</w:t>
                  </w:r>
                  <w:r>
                    <w:rPr>
                      <w:rFonts w:ascii="Arial" w:eastAsia="Times New Roman" w:hAnsi="Arial" w:cs="Arial"/>
                      <w:sz w:val="20"/>
                      <w:lang w:eastAsia="sl-SI"/>
                    </w:rPr>
                    <w:t xml:space="preserve"> IBFD 2017)</w:t>
                  </w:r>
                </w:p>
                <w:p w14:paraId="26505274" w14:textId="77777777" w:rsidR="00ED5FC1" w:rsidRPr="00ED5FC1" w:rsidRDefault="00ED5FC1" w:rsidP="00216268">
                  <w:pPr>
                    <w:autoSpaceDE w:val="0"/>
                    <w:autoSpaceDN w:val="0"/>
                    <w:adjustRightInd w:val="0"/>
                    <w:jc w:val="both"/>
                    <w:rPr>
                      <w:rFonts w:ascii="Arial" w:eastAsia="Times New Roman" w:hAnsi="Arial" w:cs="Arial"/>
                      <w:sz w:val="20"/>
                      <w:lang w:eastAsia="sl-SI"/>
                    </w:rPr>
                  </w:pPr>
                  <w:r w:rsidRPr="00ED5FC1">
                    <w:rPr>
                      <w:rFonts w:ascii="Arial" w:eastAsia="Times New Roman" w:hAnsi="Arial" w:cs="Arial"/>
                      <w:sz w:val="20"/>
                      <w:lang w:eastAsia="sl-SI"/>
                    </w:rPr>
                    <w:t>Po zgledu drugih evropskih držav je tudi Italija uvedla sistem davka na tonažo. Upravičeni zavezanci se morajo odločiti za sistem davka na tonažo v treh mesecih od začetka prvega davčnega leta (možnost je nepreklicna za 10 poslovnih let in se lahko podaljša).</w:t>
                  </w:r>
                  <w:r w:rsidRPr="00ED5FC1">
                    <w:rPr>
                      <w:rFonts w:ascii="Arial" w:eastAsia="Times New Roman" w:hAnsi="Arial" w:cs="Arial"/>
                      <w:sz w:val="20"/>
                      <w:lang w:eastAsia="sl-SI"/>
                    </w:rPr>
                    <w:br/>
                  </w:r>
                  <w:r w:rsidRPr="00ED5FC1">
                    <w:rPr>
                      <w:rFonts w:ascii="Arial" w:eastAsia="Times New Roman" w:hAnsi="Arial" w:cs="Arial"/>
                      <w:sz w:val="20"/>
                      <w:lang w:eastAsia="sl-SI"/>
                    </w:rPr>
                    <w:br/>
                    <w:t>V skladu s to ureditvijo se obdavčljivi dohodek določi z uporabo dnevnih koeficientov glede na tonažo. Kapitalski dobički in izgube na ladjah, za katere se uporablja davek na tonažo, so vključeni v sistem davka na tonažo. Če pa se prodaja nanaša na ladjo, ki je bila že v lasti davčnega zavezanca v davčnem letu pred prvo uporabo režima davka na tonažo, je znesek, ki je enak razliki med prejetim nadomestilom in zgodovinskim stroškom, zmanjšanim za amortizacijo obdavčen.</w:t>
                  </w:r>
                </w:p>
                <w:p w14:paraId="7C20BE30" w14:textId="6AA9418B" w:rsidR="00ED5FC1" w:rsidRPr="00ED5FC1" w:rsidRDefault="00ED5FC1" w:rsidP="00216268">
                  <w:pPr>
                    <w:autoSpaceDE w:val="0"/>
                    <w:autoSpaceDN w:val="0"/>
                    <w:adjustRightInd w:val="0"/>
                    <w:jc w:val="both"/>
                    <w:rPr>
                      <w:rFonts w:ascii="Arial" w:eastAsia="Times New Roman" w:hAnsi="Arial" w:cs="Arial"/>
                      <w:sz w:val="20"/>
                      <w:lang w:eastAsia="sl-SI"/>
                    </w:rPr>
                  </w:pPr>
                  <w:r w:rsidRPr="00BA6E70">
                    <w:rPr>
                      <w:rFonts w:ascii="Arial" w:eastAsia="Times New Roman" w:hAnsi="Arial" w:cs="Arial"/>
                      <w:b/>
                      <w:sz w:val="20"/>
                      <w:lang w:eastAsia="sl-SI"/>
                    </w:rPr>
                    <w:t>Irska</w:t>
                  </w:r>
                  <w:r>
                    <w:rPr>
                      <w:rFonts w:ascii="Arial" w:eastAsia="Times New Roman" w:hAnsi="Arial" w:cs="Arial"/>
                      <w:sz w:val="20"/>
                      <w:lang w:eastAsia="sl-SI"/>
                    </w:rPr>
                    <w:t xml:space="preserve"> (Vir: </w:t>
                  </w:r>
                  <w:r w:rsidR="00BA6E70">
                    <w:rPr>
                      <w:rFonts w:ascii="Arial" w:eastAsia="Times New Roman" w:hAnsi="Arial" w:cs="Arial"/>
                      <w:sz w:val="20"/>
                      <w:lang w:eastAsia="sl-SI"/>
                    </w:rPr>
                    <w:t xml:space="preserve">zbirka </w:t>
                  </w:r>
                  <w:r>
                    <w:rPr>
                      <w:rFonts w:ascii="Arial" w:eastAsia="Times New Roman" w:hAnsi="Arial" w:cs="Arial"/>
                      <w:sz w:val="20"/>
                      <w:lang w:eastAsia="sl-SI"/>
                    </w:rPr>
                    <w:t>IBFD 2017)</w:t>
                  </w:r>
                </w:p>
                <w:p w14:paraId="1A7379CB" w14:textId="77777777" w:rsidR="005C7977" w:rsidRDefault="0083348D" w:rsidP="00216268">
                  <w:pPr>
                    <w:autoSpaceDE w:val="0"/>
                    <w:autoSpaceDN w:val="0"/>
                    <w:adjustRightInd w:val="0"/>
                    <w:jc w:val="both"/>
                    <w:rPr>
                      <w:rFonts w:ascii="Arial" w:eastAsia="Times New Roman" w:hAnsi="Arial" w:cs="Arial"/>
                      <w:sz w:val="20"/>
                      <w:lang w:eastAsia="sl-SI"/>
                    </w:rPr>
                  </w:pPr>
                  <w:r w:rsidRPr="0083348D">
                    <w:rPr>
                      <w:rFonts w:ascii="Arial" w:eastAsia="Times New Roman" w:hAnsi="Arial" w:cs="Arial"/>
                      <w:sz w:val="20"/>
                      <w:lang w:eastAsia="sl-SI"/>
                    </w:rPr>
                    <w:lastRenderedPageBreak/>
                    <w:t>Podjetja, ki se ukvarjajo s kvalificiranimi ladjarskimi dejavnostmi, se lahko odločijo, da bodo dobiček iz ladijskega prometa plačala v skladu s sistemom davka na tonažo. V skladu s tem sistemom se dobiček določi po predpisanem znesku na dan in obdavči po standardni stopnji davka od dohodkov pravnih oseb. Znesek davka se razlikuje glede na tonažo ladje ali ladij, ki jih upravlja družba.</w:t>
                  </w:r>
                </w:p>
                <w:p w14:paraId="08AE1A77" w14:textId="7A4451B3" w:rsidR="00007A75" w:rsidRDefault="00007A75" w:rsidP="00216268">
                  <w:pPr>
                    <w:autoSpaceDE w:val="0"/>
                    <w:autoSpaceDN w:val="0"/>
                    <w:adjustRightInd w:val="0"/>
                    <w:jc w:val="both"/>
                    <w:rPr>
                      <w:rFonts w:ascii="Arial" w:eastAsia="Times New Roman" w:hAnsi="Arial" w:cs="Arial"/>
                      <w:sz w:val="20"/>
                      <w:lang w:eastAsia="sl-SI"/>
                    </w:rPr>
                  </w:pPr>
                  <w:r w:rsidRPr="00BA6E70">
                    <w:rPr>
                      <w:rFonts w:ascii="Arial" w:eastAsia="Times New Roman" w:hAnsi="Arial" w:cs="Arial"/>
                      <w:b/>
                      <w:sz w:val="20"/>
                      <w:lang w:eastAsia="sl-SI"/>
                    </w:rPr>
                    <w:t>Poljska</w:t>
                  </w:r>
                  <w:r>
                    <w:rPr>
                      <w:rFonts w:ascii="Arial" w:eastAsia="Times New Roman" w:hAnsi="Arial" w:cs="Arial"/>
                      <w:sz w:val="20"/>
                      <w:lang w:eastAsia="sl-SI"/>
                    </w:rPr>
                    <w:t xml:space="preserve"> (Vir: </w:t>
                  </w:r>
                  <w:r w:rsidR="00BA6E70">
                    <w:rPr>
                      <w:rFonts w:ascii="Arial" w:eastAsia="Times New Roman" w:hAnsi="Arial" w:cs="Arial"/>
                      <w:sz w:val="20"/>
                      <w:lang w:eastAsia="sl-SI"/>
                    </w:rPr>
                    <w:t xml:space="preserve">zbirka </w:t>
                  </w:r>
                  <w:r>
                    <w:rPr>
                      <w:rFonts w:ascii="Arial" w:eastAsia="Times New Roman" w:hAnsi="Arial" w:cs="Arial"/>
                      <w:sz w:val="20"/>
                      <w:lang w:eastAsia="sl-SI"/>
                    </w:rPr>
                    <w:t>IBFD 2017)</w:t>
                  </w:r>
                </w:p>
                <w:p w14:paraId="25B32B59" w14:textId="1EDD4CB3" w:rsidR="00007A75" w:rsidRPr="00007A75" w:rsidRDefault="00007A75" w:rsidP="00007A75">
                  <w:pPr>
                    <w:autoSpaceDE w:val="0"/>
                    <w:autoSpaceDN w:val="0"/>
                    <w:adjustRightInd w:val="0"/>
                    <w:spacing w:after="0"/>
                    <w:jc w:val="both"/>
                    <w:rPr>
                      <w:rFonts w:ascii="Arial" w:eastAsia="Times New Roman" w:hAnsi="Arial" w:cs="Arial"/>
                      <w:sz w:val="20"/>
                      <w:lang w:eastAsia="sl-SI"/>
                    </w:rPr>
                  </w:pPr>
                  <w:r w:rsidRPr="00007A75">
                    <w:rPr>
                      <w:rFonts w:ascii="Arial" w:eastAsia="Times New Roman" w:hAnsi="Arial" w:cs="Arial"/>
                      <w:sz w:val="20"/>
                      <w:lang w:eastAsia="sl-SI"/>
                    </w:rPr>
                    <w:t xml:space="preserve">Kvalificirani </w:t>
                  </w:r>
                  <w:r w:rsidR="009A67D8">
                    <w:rPr>
                      <w:rFonts w:ascii="Arial" w:eastAsia="Times New Roman" w:hAnsi="Arial" w:cs="Arial"/>
                      <w:sz w:val="20"/>
                      <w:lang w:eastAsia="sl-SI"/>
                    </w:rPr>
                    <w:t>davčni zavezanci</w:t>
                  </w:r>
                  <w:r w:rsidRPr="00007A75">
                    <w:rPr>
                      <w:rFonts w:ascii="Arial" w:eastAsia="Times New Roman" w:hAnsi="Arial" w:cs="Arial"/>
                      <w:sz w:val="20"/>
                      <w:lang w:eastAsia="sl-SI"/>
                    </w:rPr>
                    <w:t xml:space="preserve">, to je družbe s sedežem na Poljskem ali v drugi državi </w:t>
                  </w:r>
                  <w:r w:rsidR="009A67D8">
                    <w:rPr>
                      <w:rFonts w:ascii="Arial" w:eastAsia="Times New Roman" w:hAnsi="Arial" w:cs="Arial"/>
                      <w:sz w:val="20"/>
                      <w:lang w:eastAsia="sl-SI"/>
                    </w:rPr>
                    <w:t>EU/</w:t>
                  </w:r>
                  <w:r w:rsidRPr="00007A75">
                    <w:rPr>
                      <w:rFonts w:ascii="Arial" w:eastAsia="Times New Roman" w:hAnsi="Arial" w:cs="Arial"/>
                      <w:sz w:val="20"/>
                      <w:lang w:eastAsia="sl-SI"/>
                    </w:rPr>
                    <w:t>EGP, se lahko namesto plačevanja davka na dohodek v skladu s splošnimi pravili odločijo za plačilo davka na tonažo, če opravljajo mednarodne komercialne dejavnosti pomorskega prometa z uporabo plovil z več kot 100 bruto tonami.</w:t>
                  </w:r>
                </w:p>
                <w:p w14:paraId="4D407C30" w14:textId="55910E36" w:rsidR="00007A75" w:rsidRDefault="00007A75" w:rsidP="00007A75">
                  <w:pPr>
                    <w:autoSpaceDE w:val="0"/>
                    <w:autoSpaceDN w:val="0"/>
                    <w:adjustRightInd w:val="0"/>
                    <w:jc w:val="both"/>
                    <w:rPr>
                      <w:rFonts w:ascii="Arial" w:eastAsia="Times New Roman" w:hAnsi="Arial" w:cs="Arial"/>
                      <w:sz w:val="20"/>
                      <w:lang w:eastAsia="sl-SI"/>
                    </w:rPr>
                  </w:pPr>
                  <w:r w:rsidRPr="00007A75">
                    <w:rPr>
                      <w:rFonts w:ascii="Arial" w:eastAsia="Times New Roman" w:hAnsi="Arial" w:cs="Arial"/>
                      <w:sz w:val="20"/>
                      <w:lang w:eastAsia="sl-SI"/>
                    </w:rPr>
                    <w:br/>
                    <w:t xml:space="preserve">Davčni zavezanci, ki uporabljajo </w:t>
                  </w:r>
                  <w:r>
                    <w:rPr>
                      <w:rFonts w:ascii="Arial" w:eastAsia="Times New Roman" w:hAnsi="Arial" w:cs="Arial"/>
                      <w:sz w:val="20"/>
                      <w:lang w:eastAsia="sl-SI"/>
                    </w:rPr>
                    <w:t>sistem</w:t>
                  </w:r>
                  <w:r w:rsidRPr="00007A75">
                    <w:rPr>
                      <w:rFonts w:ascii="Arial" w:eastAsia="Times New Roman" w:hAnsi="Arial" w:cs="Arial"/>
                      <w:sz w:val="20"/>
                      <w:lang w:eastAsia="sl-SI"/>
                    </w:rPr>
                    <w:t xml:space="preserve"> davka na tonažo, </w:t>
                  </w:r>
                  <w:r>
                    <w:rPr>
                      <w:rFonts w:ascii="Arial" w:eastAsia="Times New Roman" w:hAnsi="Arial" w:cs="Arial"/>
                      <w:sz w:val="20"/>
                      <w:lang w:eastAsia="sl-SI"/>
                    </w:rPr>
                    <w:t>ga morajo</w:t>
                  </w:r>
                  <w:r w:rsidRPr="00007A75">
                    <w:rPr>
                      <w:rFonts w:ascii="Arial" w:eastAsia="Times New Roman" w:hAnsi="Arial" w:cs="Arial"/>
                      <w:sz w:val="20"/>
                      <w:lang w:eastAsia="sl-SI"/>
                    </w:rPr>
                    <w:t xml:space="preserve"> praviloma </w:t>
                  </w:r>
                  <w:r>
                    <w:rPr>
                      <w:rFonts w:ascii="Arial" w:eastAsia="Times New Roman" w:hAnsi="Arial" w:cs="Arial"/>
                      <w:sz w:val="20"/>
                      <w:lang w:eastAsia="sl-SI"/>
                    </w:rPr>
                    <w:t>uporabiti za obdobje 10 let.</w:t>
                  </w:r>
                </w:p>
                <w:p w14:paraId="37794F47" w14:textId="6BE149E1" w:rsidR="00007A75" w:rsidRPr="00007A75" w:rsidRDefault="00007A75" w:rsidP="009F7CAB">
                  <w:pPr>
                    <w:autoSpaceDE w:val="0"/>
                    <w:autoSpaceDN w:val="0"/>
                    <w:adjustRightInd w:val="0"/>
                    <w:jc w:val="both"/>
                    <w:rPr>
                      <w:rFonts w:ascii="Arial" w:hAnsi="Arial" w:cs="Arial"/>
                      <w:color w:val="222222"/>
                    </w:rPr>
                  </w:pPr>
                  <w:r w:rsidRPr="00007A75">
                    <w:rPr>
                      <w:rFonts w:ascii="Arial" w:eastAsia="Times New Roman" w:hAnsi="Arial" w:cs="Arial"/>
                      <w:sz w:val="20"/>
                      <w:lang w:eastAsia="sl-SI"/>
                    </w:rPr>
                    <w:t xml:space="preserve">Obdavčljiva osnova se izračuna tako, da se </w:t>
                  </w:r>
                  <w:r w:rsidR="009F7CAB">
                    <w:rPr>
                      <w:rFonts w:ascii="Arial" w:eastAsia="Times New Roman" w:hAnsi="Arial" w:cs="Arial"/>
                      <w:sz w:val="20"/>
                      <w:lang w:eastAsia="sl-SI"/>
                    </w:rPr>
                    <w:t>koeficient</w:t>
                  </w:r>
                  <w:r w:rsidRPr="00007A75">
                    <w:rPr>
                      <w:rFonts w:ascii="Arial" w:eastAsia="Times New Roman" w:hAnsi="Arial" w:cs="Arial"/>
                      <w:sz w:val="20"/>
                      <w:lang w:eastAsia="sl-SI"/>
                    </w:rPr>
                    <w:t>, ki se določi glede na neto tonažo plovila, pomnoži s številom delovnih dni plovila. Davek se obračuna na taki davčni osnovi po splošni stopnji.</w:t>
                  </w:r>
                </w:p>
              </w:tc>
            </w:tr>
            <w:tr w:rsidR="005C7977" w:rsidRPr="00415A84" w14:paraId="0BBFAEFA" w14:textId="77777777" w:rsidTr="00766741">
              <w:tc>
                <w:tcPr>
                  <w:tcW w:w="9213" w:type="dxa"/>
                </w:tcPr>
                <w:p w14:paraId="7CB6CC11" w14:textId="3DE90C56" w:rsidR="005C7977" w:rsidRPr="00D27F6C" w:rsidRDefault="005C7977" w:rsidP="00766741">
                  <w:pPr>
                    <w:pStyle w:val="Oddelek"/>
                    <w:numPr>
                      <w:ilvl w:val="0"/>
                      <w:numId w:val="0"/>
                    </w:numPr>
                    <w:spacing w:before="0" w:after="0" w:line="260" w:lineRule="exact"/>
                    <w:jc w:val="left"/>
                    <w:rPr>
                      <w:rFonts w:eastAsia="Calibri" w:cs="Arial"/>
                      <w:sz w:val="20"/>
                      <w:szCs w:val="20"/>
                      <w:lang w:val="sl-SI" w:eastAsia="en-US"/>
                    </w:rPr>
                  </w:pPr>
                  <w:r w:rsidRPr="00D27F6C">
                    <w:rPr>
                      <w:rFonts w:eastAsia="Calibri" w:cs="Arial"/>
                      <w:sz w:val="20"/>
                      <w:szCs w:val="20"/>
                      <w:lang w:val="sl-SI" w:eastAsia="en-US"/>
                    </w:rPr>
                    <w:lastRenderedPageBreak/>
                    <w:t>6. PRESOJA POSLEDIC, KI JIH BO IMEL SPREJEM ZAKONA</w:t>
                  </w:r>
                </w:p>
              </w:tc>
            </w:tr>
            <w:tr w:rsidR="005C7977" w:rsidRPr="00415A84" w14:paraId="30EC493B" w14:textId="77777777" w:rsidTr="00766741">
              <w:tc>
                <w:tcPr>
                  <w:tcW w:w="9213" w:type="dxa"/>
                </w:tcPr>
                <w:p w14:paraId="53A8579A" w14:textId="77777777" w:rsidR="005C7977" w:rsidRPr="00D27F6C" w:rsidRDefault="005C7977" w:rsidP="00766741">
                  <w:pPr>
                    <w:pStyle w:val="Odsek"/>
                    <w:numPr>
                      <w:ilvl w:val="0"/>
                      <w:numId w:val="0"/>
                    </w:numPr>
                    <w:spacing w:before="0" w:after="0" w:line="260" w:lineRule="exact"/>
                    <w:jc w:val="left"/>
                    <w:rPr>
                      <w:rFonts w:eastAsia="Calibri" w:cs="Arial"/>
                      <w:sz w:val="20"/>
                      <w:szCs w:val="20"/>
                      <w:lang w:val="sl-SI" w:eastAsia="en-US"/>
                    </w:rPr>
                  </w:pPr>
                  <w:r w:rsidRPr="00D27F6C">
                    <w:rPr>
                      <w:rFonts w:eastAsia="Calibri" w:cs="Arial"/>
                      <w:sz w:val="20"/>
                      <w:szCs w:val="20"/>
                      <w:lang w:val="sl-SI" w:eastAsia="en-US"/>
                    </w:rPr>
                    <w:t xml:space="preserve">6.1 Presoja administrativnih posledic </w:t>
                  </w:r>
                </w:p>
                <w:p w14:paraId="7C35A448" w14:textId="77777777" w:rsidR="005C7977" w:rsidRPr="00D27F6C" w:rsidRDefault="005C7977" w:rsidP="00766741">
                  <w:pPr>
                    <w:pStyle w:val="Odsek"/>
                    <w:numPr>
                      <w:ilvl w:val="0"/>
                      <w:numId w:val="0"/>
                    </w:numPr>
                    <w:spacing w:before="0" w:after="0" w:line="260" w:lineRule="exact"/>
                    <w:jc w:val="left"/>
                    <w:rPr>
                      <w:rFonts w:eastAsia="Calibri" w:cs="Arial"/>
                      <w:sz w:val="20"/>
                      <w:szCs w:val="20"/>
                      <w:lang w:val="sl-SI" w:eastAsia="en-US"/>
                    </w:rPr>
                  </w:pPr>
                  <w:r w:rsidRPr="00D27F6C">
                    <w:rPr>
                      <w:rFonts w:eastAsia="Calibri" w:cs="Arial"/>
                      <w:sz w:val="20"/>
                      <w:szCs w:val="20"/>
                      <w:lang w:val="sl-SI" w:eastAsia="en-US"/>
                    </w:rPr>
                    <w:t xml:space="preserve">a) v postopkih oziroma poslovanju javne uprave ali pravosodnih organov: </w:t>
                  </w:r>
                </w:p>
              </w:tc>
            </w:tr>
            <w:tr w:rsidR="005C7977" w:rsidRPr="00415A84" w14:paraId="03AEC513" w14:textId="77777777" w:rsidTr="00766741">
              <w:tc>
                <w:tcPr>
                  <w:tcW w:w="9213" w:type="dxa"/>
                </w:tcPr>
                <w:p w14:paraId="6C340872" w14:textId="3396049F" w:rsidR="005C7977" w:rsidRPr="00415A84" w:rsidRDefault="006B0130" w:rsidP="00D27F6C">
                  <w:pPr>
                    <w:pStyle w:val="Alineazaodstavkom"/>
                    <w:numPr>
                      <w:ilvl w:val="0"/>
                      <w:numId w:val="0"/>
                    </w:numPr>
                    <w:spacing w:line="260" w:lineRule="exact"/>
                    <w:rPr>
                      <w:rFonts w:eastAsia="Calibri" w:cs="Arial"/>
                      <w:sz w:val="20"/>
                      <w:szCs w:val="20"/>
                      <w:lang w:val="sl-SI" w:eastAsia="en-US"/>
                    </w:rPr>
                  </w:pPr>
                  <w:r w:rsidRPr="00415A84">
                    <w:rPr>
                      <w:rFonts w:eastAsia="Calibri" w:cs="Arial"/>
                      <w:sz w:val="20"/>
                      <w:szCs w:val="20"/>
                      <w:lang w:val="sl-SI" w:eastAsia="en-US"/>
                    </w:rPr>
                    <w:t xml:space="preserve">Naloge v zvezi s plačevanjem in obračunavanjem davka na strani države ter posledično z nadzorom bo opravljala Finančna uprava </w:t>
                  </w:r>
                  <w:r w:rsidR="00B26041" w:rsidRPr="00B26041">
                    <w:rPr>
                      <w:rFonts w:eastAsia="Calibri" w:cs="Arial"/>
                      <w:sz w:val="20"/>
                      <w:szCs w:val="20"/>
                      <w:lang w:val="sl-SI" w:eastAsia="en-US"/>
                    </w:rPr>
                    <w:t>Republike Slovenije</w:t>
                  </w:r>
                  <w:r w:rsidRPr="00415A84">
                    <w:rPr>
                      <w:rFonts w:eastAsia="Calibri" w:cs="Arial"/>
                      <w:sz w:val="20"/>
                      <w:szCs w:val="20"/>
                      <w:lang w:val="sl-SI" w:eastAsia="en-US"/>
                    </w:rPr>
                    <w:t>. Predlog zakona ne bo imel povečanih administrativnih posledic v postopkih oziroma pri poslovanju davčnega organa</w:t>
                  </w:r>
                  <w:r w:rsidR="00D27F6C">
                    <w:rPr>
                      <w:rFonts w:eastAsia="Calibri" w:cs="Arial"/>
                      <w:sz w:val="20"/>
                      <w:szCs w:val="20"/>
                      <w:lang w:val="sl-SI" w:eastAsia="en-US"/>
                    </w:rPr>
                    <w:t>.</w:t>
                  </w:r>
                </w:p>
                <w:p w14:paraId="1092143C" w14:textId="77777777" w:rsidR="006B0130" w:rsidRPr="00415A84" w:rsidRDefault="006B0130" w:rsidP="00766741">
                  <w:pPr>
                    <w:pStyle w:val="Alineazaodstavkom"/>
                    <w:numPr>
                      <w:ilvl w:val="0"/>
                      <w:numId w:val="0"/>
                    </w:numPr>
                    <w:spacing w:line="260" w:lineRule="exact"/>
                    <w:ind w:left="709"/>
                    <w:rPr>
                      <w:rFonts w:eastAsia="Calibri" w:cs="Arial"/>
                      <w:sz w:val="20"/>
                      <w:szCs w:val="20"/>
                      <w:lang w:val="sl-SI" w:eastAsia="en-US"/>
                    </w:rPr>
                  </w:pPr>
                </w:p>
                <w:p w14:paraId="2334EAD0" w14:textId="77777777" w:rsidR="005C7977" w:rsidRPr="00D27F6C" w:rsidRDefault="005C7977" w:rsidP="00766741">
                  <w:pPr>
                    <w:pStyle w:val="rkovnatokazaodstavkom"/>
                    <w:numPr>
                      <w:ilvl w:val="0"/>
                      <w:numId w:val="0"/>
                    </w:numPr>
                    <w:spacing w:line="260" w:lineRule="exact"/>
                    <w:rPr>
                      <w:rFonts w:cs="Arial"/>
                      <w:b/>
                      <w:lang w:val="sl-SI" w:eastAsia="en-US"/>
                    </w:rPr>
                  </w:pPr>
                  <w:r w:rsidRPr="00D27F6C">
                    <w:rPr>
                      <w:rFonts w:cs="Arial"/>
                      <w:b/>
                      <w:lang w:val="sl-SI" w:eastAsia="en-US"/>
                    </w:rPr>
                    <w:t>b) pri obveznostih strank do javne uprave ali pravosodnih organov:</w:t>
                  </w:r>
                </w:p>
                <w:p w14:paraId="5EC3DB3D" w14:textId="3B9B1F2E" w:rsidR="006B0130" w:rsidRPr="00415A84" w:rsidRDefault="006B0130" w:rsidP="006B0130">
                  <w:pPr>
                    <w:pStyle w:val="Alineazaodstavkom"/>
                    <w:numPr>
                      <w:ilvl w:val="0"/>
                      <w:numId w:val="0"/>
                    </w:numPr>
                    <w:spacing w:line="260" w:lineRule="exact"/>
                    <w:ind w:left="34"/>
                    <w:rPr>
                      <w:rFonts w:eastAsia="Calibri" w:cs="Arial"/>
                      <w:sz w:val="20"/>
                      <w:szCs w:val="20"/>
                      <w:lang w:val="sl-SI" w:eastAsia="en-US"/>
                    </w:rPr>
                  </w:pPr>
                  <w:r w:rsidRPr="00415A84">
                    <w:rPr>
                      <w:rFonts w:eastAsia="Calibri" w:cs="Arial"/>
                      <w:sz w:val="20"/>
                      <w:szCs w:val="20"/>
                      <w:lang w:val="sl-SI" w:eastAsia="en-US"/>
                    </w:rPr>
                    <w:t>Davčni zavezanci bodo učinke na davčno osnovo ugotavljali enako kot doslej, to je kot posebne postavke davčnega obračuna davka od dohodkov pravnih oseb. Predlog zakona torej ne bo imel povečanih administrativnih posledic za obveznosti davčnih zavezancev do davčnega organa</w:t>
                  </w:r>
                  <w:r w:rsidR="00E2176E">
                    <w:rPr>
                      <w:rFonts w:eastAsia="Calibri" w:cs="Arial"/>
                      <w:sz w:val="20"/>
                      <w:szCs w:val="20"/>
                      <w:lang w:val="sl-SI" w:eastAsia="en-US"/>
                    </w:rPr>
                    <w:t>.</w:t>
                  </w:r>
                </w:p>
                <w:p w14:paraId="21C0FCCB" w14:textId="6DAE9CD7" w:rsidR="006B0130" w:rsidRPr="00415A84" w:rsidRDefault="006B0130" w:rsidP="006B0130">
                  <w:pPr>
                    <w:pStyle w:val="Alineazaodstavkom"/>
                    <w:numPr>
                      <w:ilvl w:val="0"/>
                      <w:numId w:val="0"/>
                    </w:numPr>
                    <w:spacing w:line="260" w:lineRule="exact"/>
                    <w:ind w:left="34"/>
                    <w:rPr>
                      <w:rFonts w:eastAsia="Calibri" w:cs="Arial"/>
                      <w:sz w:val="20"/>
                      <w:szCs w:val="20"/>
                      <w:lang w:val="sl-SI" w:eastAsia="en-US"/>
                    </w:rPr>
                  </w:pPr>
                </w:p>
              </w:tc>
            </w:tr>
            <w:tr w:rsidR="005C7977" w:rsidRPr="00415A84" w14:paraId="27CDC5E9" w14:textId="77777777" w:rsidTr="00766741">
              <w:tc>
                <w:tcPr>
                  <w:tcW w:w="9213" w:type="dxa"/>
                </w:tcPr>
                <w:p w14:paraId="64ED3C26" w14:textId="77777777" w:rsidR="005C7977" w:rsidRPr="00D27F6C" w:rsidRDefault="005C7977" w:rsidP="00766741">
                  <w:pPr>
                    <w:pStyle w:val="Odsek"/>
                    <w:numPr>
                      <w:ilvl w:val="0"/>
                      <w:numId w:val="0"/>
                    </w:numPr>
                    <w:spacing w:before="0" w:after="0" w:line="260" w:lineRule="exact"/>
                    <w:jc w:val="left"/>
                    <w:rPr>
                      <w:rFonts w:eastAsia="Calibri" w:cs="Arial"/>
                      <w:sz w:val="20"/>
                      <w:szCs w:val="20"/>
                      <w:lang w:val="sl-SI" w:eastAsia="en-US"/>
                    </w:rPr>
                  </w:pPr>
                  <w:r w:rsidRPr="00D27F6C">
                    <w:rPr>
                      <w:rFonts w:eastAsia="Calibri" w:cs="Arial"/>
                      <w:sz w:val="20"/>
                      <w:szCs w:val="20"/>
                      <w:lang w:val="sl-SI" w:eastAsia="en-US"/>
                    </w:rPr>
                    <w:t>6.2 Presoja posledic za okolje, vključno s prostorskimi in varstvenimi vidiki, in sicer za:</w:t>
                  </w:r>
                </w:p>
                <w:p w14:paraId="62CB2EC2" w14:textId="1BDB52AB" w:rsidR="00766741" w:rsidRPr="00D27F6C" w:rsidRDefault="00766741" w:rsidP="00D27F6C">
                  <w:pPr>
                    <w:pStyle w:val="Alineazatoko"/>
                    <w:spacing w:line="260" w:lineRule="exact"/>
                    <w:ind w:left="0" w:firstLine="0"/>
                    <w:rPr>
                      <w:rFonts w:eastAsia="Calibri" w:cs="Arial"/>
                      <w:sz w:val="20"/>
                      <w:szCs w:val="20"/>
                      <w:lang w:val="sl-SI" w:eastAsia="en-US"/>
                    </w:rPr>
                  </w:pPr>
                  <w:r w:rsidRPr="00415A84">
                    <w:rPr>
                      <w:rFonts w:eastAsia="Calibri" w:cs="Arial"/>
                      <w:sz w:val="20"/>
                      <w:szCs w:val="20"/>
                      <w:lang w:val="sl-SI" w:eastAsia="en-US"/>
                    </w:rPr>
                    <w:t>Pred</w:t>
                  </w:r>
                  <w:r w:rsidR="00D27F6C">
                    <w:rPr>
                      <w:rFonts w:eastAsia="Calibri" w:cs="Arial"/>
                      <w:sz w:val="20"/>
                      <w:szCs w:val="20"/>
                      <w:lang w:val="sl-SI" w:eastAsia="en-US"/>
                    </w:rPr>
                    <w:t>log zakona ne vpliva na okolje.</w:t>
                  </w:r>
                </w:p>
              </w:tc>
            </w:tr>
            <w:tr w:rsidR="005C7977" w:rsidRPr="00415A84" w14:paraId="76FCA4A1" w14:textId="77777777" w:rsidTr="00766741">
              <w:tc>
                <w:tcPr>
                  <w:tcW w:w="9213" w:type="dxa"/>
                </w:tcPr>
                <w:p w14:paraId="23A7C9FD" w14:textId="3EE267DA" w:rsidR="005C7977" w:rsidRPr="00415A84" w:rsidRDefault="005C7977" w:rsidP="00D27F6C">
                  <w:pPr>
                    <w:pStyle w:val="Alineazatoko"/>
                    <w:spacing w:line="260" w:lineRule="exact"/>
                    <w:ind w:left="0" w:firstLine="0"/>
                    <w:rPr>
                      <w:rFonts w:eastAsia="Calibri" w:cs="Arial"/>
                      <w:sz w:val="20"/>
                      <w:szCs w:val="20"/>
                      <w:lang w:val="sl-SI" w:eastAsia="en-US"/>
                    </w:rPr>
                  </w:pPr>
                </w:p>
              </w:tc>
            </w:tr>
            <w:tr w:rsidR="005C7977" w:rsidRPr="00415A84" w14:paraId="49308C53" w14:textId="77777777" w:rsidTr="00766741">
              <w:tc>
                <w:tcPr>
                  <w:tcW w:w="9213" w:type="dxa"/>
                </w:tcPr>
                <w:p w14:paraId="59A6C004" w14:textId="77777777" w:rsidR="005C7977" w:rsidRPr="00D27F6C" w:rsidRDefault="005C7977" w:rsidP="00766741">
                  <w:pPr>
                    <w:pStyle w:val="Odsek"/>
                    <w:numPr>
                      <w:ilvl w:val="0"/>
                      <w:numId w:val="0"/>
                    </w:numPr>
                    <w:spacing w:before="0" w:after="0" w:line="260" w:lineRule="exact"/>
                    <w:jc w:val="left"/>
                    <w:rPr>
                      <w:rFonts w:eastAsia="Calibri" w:cs="Arial"/>
                      <w:sz w:val="20"/>
                      <w:szCs w:val="20"/>
                      <w:lang w:val="sl-SI" w:eastAsia="en-US"/>
                    </w:rPr>
                  </w:pPr>
                  <w:r w:rsidRPr="00D27F6C">
                    <w:rPr>
                      <w:rFonts w:eastAsia="Calibri" w:cs="Arial"/>
                      <w:sz w:val="20"/>
                      <w:szCs w:val="20"/>
                      <w:lang w:val="sl-SI" w:eastAsia="en-US"/>
                    </w:rPr>
                    <w:t>6.3 Presoja posledic za gospodarstvo, in sicer za:</w:t>
                  </w:r>
                </w:p>
                <w:p w14:paraId="5544BDC2" w14:textId="6D16B13B" w:rsidR="00766741" w:rsidRPr="00415A84" w:rsidRDefault="00766741" w:rsidP="00766741">
                  <w:pPr>
                    <w:pStyle w:val="Odsek"/>
                    <w:numPr>
                      <w:ilvl w:val="0"/>
                      <w:numId w:val="0"/>
                    </w:numPr>
                    <w:spacing w:before="0" w:after="0" w:line="260" w:lineRule="exact"/>
                    <w:jc w:val="left"/>
                    <w:rPr>
                      <w:rFonts w:eastAsia="Calibri" w:cs="Arial"/>
                      <w:b w:val="0"/>
                      <w:sz w:val="20"/>
                      <w:szCs w:val="20"/>
                      <w:lang w:val="sl-SI" w:eastAsia="en-US"/>
                    </w:rPr>
                  </w:pPr>
                  <w:r w:rsidRPr="00415A84">
                    <w:rPr>
                      <w:rFonts w:eastAsia="Calibri" w:cs="Arial"/>
                      <w:b w:val="0"/>
                      <w:sz w:val="20"/>
                      <w:szCs w:val="20"/>
                      <w:lang w:val="sl-SI" w:eastAsia="en-US"/>
                    </w:rPr>
                    <w:t>Predlog zakona nima vpliva na gospodarstvo</w:t>
                  </w:r>
                  <w:r w:rsidR="00E2176E">
                    <w:rPr>
                      <w:rFonts w:eastAsia="Calibri" w:cs="Arial"/>
                      <w:b w:val="0"/>
                      <w:sz w:val="20"/>
                      <w:szCs w:val="20"/>
                      <w:lang w:val="sl-SI" w:eastAsia="en-US"/>
                    </w:rPr>
                    <w:t>.</w:t>
                  </w:r>
                </w:p>
              </w:tc>
            </w:tr>
            <w:tr w:rsidR="005C7977" w:rsidRPr="00415A84" w14:paraId="4286FB0F" w14:textId="77777777" w:rsidTr="00766741">
              <w:tc>
                <w:tcPr>
                  <w:tcW w:w="9213" w:type="dxa"/>
                </w:tcPr>
                <w:p w14:paraId="14C0C660" w14:textId="47FF21F1" w:rsidR="005C7977" w:rsidRPr="00415A84" w:rsidRDefault="005C7977" w:rsidP="00D27F6C">
                  <w:pPr>
                    <w:pStyle w:val="Alineazatoko"/>
                    <w:spacing w:line="260" w:lineRule="exact"/>
                    <w:rPr>
                      <w:rFonts w:eastAsia="Calibri" w:cs="Arial"/>
                      <w:sz w:val="20"/>
                      <w:szCs w:val="20"/>
                      <w:lang w:val="sl-SI" w:eastAsia="en-US"/>
                    </w:rPr>
                  </w:pPr>
                </w:p>
              </w:tc>
            </w:tr>
            <w:tr w:rsidR="005C7977" w:rsidRPr="00415A84" w14:paraId="57181F18" w14:textId="77777777" w:rsidTr="00766741">
              <w:tc>
                <w:tcPr>
                  <w:tcW w:w="9213" w:type="dxa"/>
                </w:tcPr>
                <w:p w14:paraId="1FC9911E" w14:textId="77777777" w:rsidR="005C7977" w:rsidRPr="00D27F6C" w:rsidRDefault="005C7977" w:rsidP="00766741">
                  <w:pPr>
                    <w:pStyle w:val="Odsek"/>
                    <w:numPr>
                      <w:ilvl w:val="0"/>
                      <w:numId w:val="0"/>
                    </w:numPr>
                    <w:spacing w:before="0" w:after="0" w:line="260" w:lineRule="exact"/>
                    <w:jc w:val="left"/>
                    <w:rPr>
                      <w:rFonts w:eastAsia="Calibri" w:cs="Arial"/>
                      <w:sz w:val="20"/>
                      <w:szCs w:val="20"/>
                      <w:lang w:val="sl-SI" w:eastAsia="en-US"/>
                    </w:rPr>
                  </w:pPr>
                  <w:r w:rsidRPr="00D27F6C">
                    <w:rPr>
                      <w:rFonts w:eastAsia="Calibri" w:cs="Arial"/>
                      <w:sz w:val="20"/>
                      <w:szCs w:val="20"/>
                      <w:lang w:val="sl-SI" w:eastAsia="en-US"/>
                    </w:rPr>
                    <w:t>6.4 Presoja posledic za socialno področje, in sicer za:</w:t>
                  </w:r>
                </w:p>
                <w:p w14:paraId="4F5A5267" w14:textId="4765FEED" w:rsidR="00766741" w:rsidRPr="00415A84" w:rsidRDefault="00766741" w:rsidP="00766741">
                  <w:pPr>
                    <w:pStyle w:val="Odsek"/>
                    <w:numPr>
                      <w:ilvl w:val="0"/>
                      <w:numId w:val="0"/>
                    </w:numPr>
                    <w:spacing w:before="0" w:after="0" w:line="260" w:lineRule="exact"/>
                    <w:jc w:val="left"/>
                    <w:rPr>
                      <w:rFonts w:eastAsia="Calibri" w:cs="Arial"/>
                      <w:b w:val="0"/>
                      <w:sz w:val="20"/>
                      <w:szCs w:val="20"/>
                      <w:lang w:val="sl-SI" w:eastAsia="en-US"/>
                    </w:rPr>
                  </w:pPr>
                  <w:r w:rsidRPr="00415A84">
                    <w:rPr>
                      <w:rFonts w:eastAsia="Calibri" w:cs="Arial"/>
                      <w:b w:val="0"/>
                      <w:sz w:val="20"/>
                      <w:szCs w:val="20"/>
                      <w:lang w:val="sl-SI" w:eastAsia="en-US"/>
                    </w:rPr>
                    <w:t>Predlog zakona nima vpliva za socialno področje.</w:t>
                  </w:r>
                </w:p>
              </w:tc>
            </w:tr>
            <w:tr w:rsidR="005C7977" w:rsidRPr="00415A84" w14:paraId="4D197BE9" w14:textId="77777777" w:rsidTr="00766741">
              <w:tc>
                <w:tcPr>
                  <w:tcW w:w="9213" w:type="dxa"/>
                </w:tcPr>
                <w:p w14:paraId="3EAEA5C0" w14:textId="4417BCA9" w:rsidR="005C7977" w:rsidRPr="00415A84" w:rsidRDefault="005C7977" w:rsidP="00D27F6C">
                  <w:pPr>
                    <w:pStyle w:val="Alineazaodstavkom"/>
                    <w:numPr>
                      <w:ilvl w:val="0"/>
                      <w:numId w:val="0"/>
                    </w:numPr>
                    <w:spacing w:line="260" w:lineRule="exact"/>
                    <w:rPr>
                      <w:rFonts w:eastAsia="Calibri" w:cs="Arial"/>
                      <w:sz w:val="20"/>
                      <w:szCs w:val="20"/>
                      <w:lang w:val="sl-SI" w:eastAsia="en-US"/>
                    </w:rPr>
                  </w:pPr>
                </w:p>
              </w:tc>
            </w:tr>
            <w:tr w:rsidR="005C7977" w:rsidRPr="00415A84" w14:paraId="2E65649C" w14:textId="77777777" w:rsidTr="00766741">
              <w:tc>
                <w:tcPr>
                  <w:tcW w:w="9213" w:type="dxa"/>
                </w:tcPr>
                <w:p w14:paraId="2EF1A30A" w14:textId="77777777" w:rsidR="005C7977" w:rsidRPr="00D27F6C" w:rsidRDefault="005C7977" w:rsidP="00766741">
                  <w:pPr>
                    <w:pStyle w:val="Odsek"/>
                    <w:numPr>
                      <w:ilvl w:val="0"/>
                      <w:numId w:val="0"/>
                    </w:numPr>
                    <w:spacing w:before="0" w:after="0" w:line="260" w:lineRule="exact"/>
                    <w:jc w:val="left"/>
                    <w:rPr>
                      <w:rFonts w:eastAsia="Calibri" w:cs="Arial"/>
                      <w:sz w:val="20"/>
                      <w:szCs w:val="20"/>
                      <w:lang w:val="sl-SI" w:eastAsia="en-US"/>
                    </w:rPr>
                  </w:pPr>
                  <w:r w:rsidRPr="00D27F6C">
                    <w:rPr>
                      <w:rFonts w:eastAsia="Calibri" w:cs="Arial"/>
                      <w:sz w:val="20"/>
                      <w:szCs w:val="20"/>
                      <w:lang w:val="sl-SI" w:eastAsia="en-US"/>
                    </w:rPr>
                    <w:t>6.5 Presoja posledic za dokumente razvojnega načrtovanja, in sicer za:</w:t>
                  </w:r>
                </w:p>
                <w:p w14:paraId="65B36638" w14:textId="40352CDB" w:rsidR="00766741" w:rsidRPr="00415A84" w:rsidRDefault="00766741" w:rsidP="00766741">
                  <w:pPr>
                    <w:pStyle w:val="Odsek"/>
                    <w:numPr>
                      <w:ilvl w:val="0"/>
                      <w:numId w:val="0"/>
                    </w:numPr>
                    <w:spacing w:before="0" w:after="0" w:line="260" w:lineRule="exact"/>
                    <w:jc w:val="left"/>
                    <w:rPr>
                      <w:rFonts w:eastAsia="Calibri" w:cs="Arial"/>
                      <w:b w:val="0"/>
                      <w:sz w:val="20"/>
                      <w:szCs w:val="20"/>
                      <w:lang w:val="sl-SI" w:eastAsia="en-US"/>
                    </w:rPr>
                  </w:pPr>
                  <w:r w:rsidRPr="00415A84">
                    <w:rPr>
                      <w:rFonts w:eastAsia="Calibri" w:cs="Arial"/>
                      <w:b w:val="0"/>
                      <w:sz w:val="20"/>
                      <w:szCs w:val="20"/>
                      <w:lang w:val="sl-SI" w:eastAsia="en-US"/>
                    </w:rPr>
                    <w:t>Predlog zakona ne vpliva na dokumente razvojnega načrtovanja.</w:t>
                  </w:r>
                </w:p>
              </w:tc>
            </w:tr>
            <w:tr w:rsidR="005C7977" w:rsidRPr="00415A84" w14:paraId="21B3AC51" w14:textId="77777777" w:rsidTr="00766741">
              <w:tc>
                <w:tcPr>
                  <w:tcW w:w="9213" w:type="dxa"/>
                </w:tcPr>
                <w:p w14:paraId="5DAD8359" w14:textId="77777777" w:rsidR="00D27F6C" w:rsidRDefault="00D27F6C" w:rsidP="00766741">
                  <w:pPr>
                    <w:pStyle w:val="Alineazaodstavkom"/>
                    <w:numPr>
                      <w:ilvl w:val="0"/>
                      <w:numId w:val="0"/>
                    </w:numPr>
                    <w:spacing w:line="260" w:lineRule="exact"/>
                    <w:rPr>
                      <w:rFonts w:eastAsia="Calibri" w:cs="Arial"/>
                      <w:sz w:val="20"/>
                      <w:szCs w:val="20"/>
                      <w:lang w:val="sl-SI" w:eastAsia="en-US"/>
                    </w:rPr>
                  </w:pPr>
                </w:p>
                <w:p w14:paraId="3D5608D4" w14:textId="77777777" w:rsidR="005C7977" w:rsidRPr="00D27F6C" w:rsidRDefault="005C7977" w:rsidP="00766741">
                  <w:pPr>
                    <w:pStyle w:val="Alineazaodstavkom"/>
                    <w:numPr>
                      <w:ilvl w:val="0"/>
                      <w:numId w:val="0"/>
                    </w:numPr>
                    <w:spacing w:line="260" w:lineRule="exact"/>
                    <w:rPr>
                      <w:rFonts w:eastAsia="Calibri" w:cs="Arial"/>
                      <w:b/>
                      <w:sz w:val="20"/>
                      <w:szCs w:val="20"/>
                      <w:lang w:val="sl-SI" w:eastAsia="en-US"/>
                    </w:rPr>
                  </w:pPr>
                  <w:r w:rsidRPr="00D27F6C">
                    <w:rPr>
                      <w:rFonts w:eastAsia="Calibri" w:cs="Arial"/>
                      <w:b/>
                      <w:sz w:val="20"/>
                      <w:szCs w:val="20"/>
                      <w:lang w:val="sl-SI" w:eastAsia="en-US"/>
                    </w:rPr>
                    <w:t>6.6 Presoja posledic za druga področja</w:t>
                  </w:r>
                </w:p>
                <w:p w14:paraId="289D9505" w14:textId="77777777" w:rsidR="00766741" w:rsidRPr="00415A84" w:rsidRDefault="00766741" w:rsidP="00766741">
                  <w:pPr>
                    <w:pStyle w:val="Alineazaodstavkom"/>
                    <w:numPr>
                      <w:ilvl w:val="0"/>
                      <w:numId w:val="0"/>
                    </w:numPr>
                    <w:spacing w:line="260" w:lineRule="exact"/>
                    <w:rPr>
                      <w:rFonts w:eastAsia="Calibri" w:cs="Arial"/>
                      <w:sz w:val="20"/>
                      <w:szCs w:val="20"/>
                      <w:lang w:val="sl-SI" w:eastAsia="en-US"/>
                    </w:rPr>
                  </w:pPr>
                  <w:r w:rsidRPr="00415A84">
                    <w:rPr>
                      <w:rFonts w:eastAsia="Calibri" w:cs="Arial"/>
                      <w:sz w:val="20"/>
                      <w:szCs w:val="20"/>
                      <w:lang w:val="sl-SI" w:eastAsia="en-US"/>
                    </w:rPr>
                    <w:t>Predlog zakona ne vpliva na druga področja.</w:t>
                  </w:r>
                </w:p>
                <w:p w14:paraId="38E0C35E" w14:textId="77777777" w:rsidR="00766741" w:rsidRPr="00415A84" w:rsidRDefault="00766741" w:rsidP="00766741">
                  <w:pPr>
                    <w:pStyle w:val="Alineazaodstavkom"/>
                    <w:numPr>
                      <w:ilvl w:val="0"/>
                      <w:numId w:val="0"/>
                    </w:numPr>
                    <w:spacing w:line="260" w:lineRule="exact"/>
                    <w:rPr>
                      <w:rFonts w:eastAsia="Calibri" w:cs="Arial"/>
                      <w:sz w:val="20"/>
                      <w:szCs w:val="20"/>
                      <w:lang w:val="sl-SI" w:eastAsia="en-US"/>
                    </w:rPr>
                  </w:pPr>
                </w:p>
              </w:tc>
            </w:tr>
            <w:tr w:rsidR="005C7977" w:rsidRPr="00415A84" w14:paraId="13BC5172" w14:textId="77777777" w:rsidTr="00766741">
              <w:tc>
                <w:tcPr>
                  <w:tcW w:w="9213" w:type="dxa"/>
                </w:tcPr>
                <w:p w14:paraId="04E657A0" w14:textId="0EDDA2F7" w:rsidR="00766741" w:rsidRPr="00D27F6C" w:rsidRDefault="005C7977" w:rsidP="00D27F6C">
                  <w:pPr>
                    <w:pStyle w:val="Odsek"/>
                    <w:numPr>
                      <w:ilvl w:val="0"/>
                      <w:numId w:val="0"/>
                    </w:numPr>
                    <w:spacing w:before="0" w:after="0" w:line="260" w:lineRule="exact"/>
                    <w:jc w:val="left"/>
                    <w:rPr>
                      <w:rFonts w:eastAsia="Calibri" w:cs="Arial"/>
                      <w:sz w:val="20"/>
                      <w:szCs w:val="20"/>
                      <w:lang w:val="sl-SI" w:eastAsia="en-US"/>
                    </w:rPr>
                  </w:pPr>
                  <w:r w:rsidRPr="00D27F6C">
                    <w:rPr>
                      <w:rFonts w:eastAsia="Calibri" w:cs="Arial"/>
                      <w:sz w:val="20"/>
                      <w:szCs w:val="20"/>
                      <w:lang w:val="sl-SI" w:eastAsia="en-US"/>
                    </w:rPr>
                    <w:t>6.7 Izvajanje</w:t>
                  </w:r>
                  <w:r w:rsidR="00D27F6C" w:rsidRPr="00D27F6C">
                    <w:rPr>
                      <w:rFonts w:eastAsia="Calibri" w:cs="Arial"/>
                      <w:sz w:val="20"/>
                      <w:szCs w:val="20"/>
                      <w:lang w:val="sl-SI" w:eastAsia="en-US"/>
                    </w:rPr>
                    <w:t xml:space="preserve"> </w:t>
                  </w:r>
                  <w:r w:rsidR="00D27F6C">
                    <w:rPr>
                      <w:rFonts w:eastAsia="Calibri" w:cs="Arial"/>
                      <w:sz w:val="20"/>
                      <w:szCs w:val="20"/>
                      <w:lang w:val="sl-SI" w:eastAsia="en-US"/>
                    </w:rPr>
                    <w:t>sprejetega predpisa:</w:t>
                  </w:r>
                </w:p>
              </w:tc>
            </w:tr>
            <w:tr w:rsidR="005C7977" w:rsidRPr="00415A84" w14:paraId="33C01B1F" w14:textId="77777777" w:rsidTr="00766741">
              <w:tc>
                <w:tcPr>
                  <w:tcW w:w="9213" w:type="dxa"/>
                </w:tcPr>
                <w:p w14:paraId="3A8D3E5B" w14:textId="77777777" w:rsidR="005C7977" w:rsidRDefault="005C7977" w:rsidP="005C7977">
                  <w:pPr>
                    <w:pStyle w:val="rkovnatokazaodstavkom"/>
                    <w:numPr>
                      <w:ilvl w:val="0"/>
                      <w:numId w:val="8"/>
                    </w:numPr>
                    <w:spacing w:line="260" w:lineRule="exact"/>
                    <w:rPr>
                      <w:rFonts w:cs="Arial"/>
                      <w:lang w:val="sl-SI" w:eastAsia="en-US"/>
                    </w:rPr>
                  </w:pPr>
                  <w:r w:rsidRPr="00415A84">
                    <w:rPr>
                      <w:rFonts w:cs="Arial"/>
                      <w:lang w:val="sl-SI" w:eastAsia="en-US"/>
                    </w:rPr>
                    <w:t>Predstavitev sprejetega zakona:</w:t>
                  </w:r>
                </w:p>
                <w:p w14:paraId="58AF56CB" w14:textId="67C18A3C" w:rsidR="00D27F6C" w:rsidRDefault="00D27F6C" w:rsidP="00D27F6C">
                  <w:pPr>
                    <w:pStyle w:val="rkovnatokazaodstavkom"/>
                    <w:numPr>
                      <w:ilvl w:val="0"/>
                      <w:numId w:val="0"/>
                    </w:numPr>
                    <w:spacing w:line="260" w:lineRule="exact"/>
                    <w:ind w:left="34"/>
                    <w:rPr>
                      <w:rFonts w:cs="Arial"/>
                      <w:lang w:val="sl-SI" w:eastAsia="en-US"/>
                    </w:rPr>
                  </w:pPr>
                  <w:r w:rsidRPr="00D27F6C">
                    <w:rPr>
                      <w:rFonts w:cs="Arial"/>
                      <w:lang w:val="sl-SI" w:eastAsia="en-US"/>
                    </w:rPr>
                    <w:t>Za izvajanje zakona je pristojna Finančna uprava Republike Slovenije, ki bo na običajen način poskrbela tudi za obveščanje zavezancev o novostih v predlogu zakona. Za izvajanje predpisa ni treba sprejeti novih podzakonskih aktov</w:t>
                  </w:r>
                  <w:r>
                    <w:rPr>
                      <w:rFonts w:cs="Arial"/>
                      <w:lang w:val="sl-SI" w:eastAsia="en-US"/>
                    </w:rPr>
                    <w:t>.</w:t>
                  </w:r>
                </w:p>
                <w:p w14:paraId="06E11BF5" w14:textId="77777777" w:rsidR="00D27F6C" w:rsidRPr="00D27F6C" w:rsidRDefault="00D27F6C" w:rsidP="00D27F6C">
                  <w:pPr>
                    <w:pStyle w:val="rkovnatokazaodstavkom"/>
                    <w:numPr>
                      <w:ilvl w:val="0"/>
                      <w:numId w:val="0"/>
                    </w:numPr>
                    <w:spacing w:line="260" w:lineRule="exact"/>
                    <w:ind w:left="34"/>
                    <w:rPr>
                      <w:rFonts w:cs="Arial"/>
                      <w:lang w:val="sl-SI" w:eastAsia="en-US"/>
                    </w:rPr>
                  </w:pPr>
                </w:p>
                <w:p w14:paraId="5CA4CFF7" w14:textId="77777777" w:rsidR="005C7977" w:rsidRDefault="005C7977" w:rsidP="005C7977">
                  <w:pPr>
                    <w:pStyle w:val="rkovnatokazaodstavkom"/>
                    <w:numPr>
                      <w:ilvl w:val="0"/>
                      <w:numId w:val="8"/>
                    </w:numPr>
                    <w:spacing w:line="260" w:lineRule="exact"/>
                    <w:rPr>
                      <w:rFonts w:cs="Arial"/>
                      <w:lang w:val="sl-SI" w:eastAsia="en-US"/>
                    </w:rPr>
                  </w:pPr>
                  <w:r w:rsidRPr="00415A84">
                    <w:rPr>
                      <w:rFonts w:cs="Arial"/>
                      <w:lang w:val="sl-SI" w:eastAsia="en-US"/>
                    </w:rPr>
                    <w:t>Spremljanje izvajanja sprejetega predpisa:</w:t>
                  </w:r>
                </w:p>
                <w:p w14:paraId="55EC0EAC" w14:textId="77777777" w:rsidR="00D27F6C" w:rsidRPr="00415A84" w:rsidRDefault="00D27F6C" w:rsidP="00D27F6C">
                  <w:pPr>
                    <w:pStyle w:val="Odsek"/>
                    <w:numPr>
                      <w:ilvl w:val="0"/>
                      <w:numId w:val="0"/>
                    </w:numPr>
                    <w:spacing w:before="0" w:after="0" w:line="260" w:lineRule="exact"/>
                    <w:jc w:val="left"/>
                    <w:rPr>
                      <w:rFonts w:eastAsia="Calibri" w:cs="Arial"/>
                      <w:b w:val="0"/>
                      <w:sz w:val="20"/>
                      <w:szCs w:val="20"/>
                      <w:lang w:val="sl-SI" w:eastAsia="en-US"/>
                    </w:rPr>
                  </w:pPr>
                  <w:r w:rsidRPr="00415A84">
                    <w:rPr>
                      <w:rFonts w:eastAsia="Calibri" w:cs="Arial"/>
                      <w:b w:val="0"/>
                      <w:sz w:val="20"/>
                      <w:szCs w:val="20"/>
                      <w:lang w:val="sl-SI" w:eastAsia="en-US"/>
                    </w:rPr>
                    <w:lastRenderedPageBreak/>
                    <w:t>Izvajanje zakona spremlja Ministrstvo za finance v skladu s svojimi pristojnostmi.</w:t>
                  </w:r>
                </w:p>
                <w:p w14:paraId="70E246B9" w14:textId="77777777" w:rsidR="00766741" w:rsidRPr="00415A84" w:rsidRDefault="00766741" w:rsidP="00D27F6C">
                  <w:pPr>
                    <w:pStyle w:val="Alineazatoko"/>
                    <w:spacing w:line="260" w:lineRule="exact"/>
                    <w:ind w:left="0" w:firstLine="0"/>
                    <w:rPr>
                      <w:rFonts w:eastAsia="Calibri" w:cs="Arial"/>
                      <w:sz w:val="20"/>
                      <w:szCs w:val="20"/>
                      <w:lang w:val="sl-SI" w:eastAsia="en-US"/>
                    </w:rPr>
                  </w:pPr>
                </w:p>
              </w:tc>
            </w:tr>
            <w:tr w:rsidR="005C7977" w:rsidRPr="00415A84" w14:paraId="42013B32" w14:textId="77777777" w:rsidTr="00766741">
              <w:tc>
                <w:tcPr>
                  <w:tcW w:w="9213" w:type="dxa"/>
                </w:tcPr>
                <w:p w14:paraId="6BDD4E19" w14:textId="77777777" w:rsidR="005C7977" w:rsidRPr="00D27F6C" w:rsidRDefault="005C7977" w:rsidP="00766741">
                  <w:pPr>
                    <w:pStyle w:val="Odsek"/>
                    <w:numPr>
                      <w:ilvl w:val="0"/>
                      <w:numId w:val="0"/>
                    </w:numPr>
                    <w:spacing w:before="0" w:after="0" w:line="260" w:lineRule="exact"/>
                    <w:jc w:val="left"/>
                    <w:rPr>
                      <w:rFonts w:eastAsia="Calibri" w:cs="Arial"/>
                      <w:sz w:val="20"/>
                      <w:szCs w:val="20"/>
                      <w:lang w:val="sl-SI" w:eastAsia="en-US"/>
                    </w:rPr>
                  </w:pPr>
                  <w:r w:rsidRPr="00D27F6C">
                    <w:rPr>
                      <w:rFonts w:eastAsia="Calibri" w:cs="Arial"/>
                      <w:sz w:val="20"/>
                      <w:szCs w:val="20"/>
                      <w:lang w:val="sl-SI" w:eastAsia="en-US"/>
                    </w:rPr>
                    <w:lastRenderedPageBreak/>
                    <w:t>6.8 Druge pomembne okoliščine v zvezi z vprašanji, ki jih ureja predlog zakona:</w:t>
                  </w:r>
                </w:p>
                <w:p w14:paraId="30A61170" w14:textId="04FA38A9" w:rsidR="005C7977" w:rsidRDefault="00D27F6C" w:rsidP="00766741">
                  <w:pPr>
                    <w:pStyle w:val="Alineazaodstavkom"/>
                    <w:numPr>
                      <w:ilvl w:val="0"/>
                      <w:numId w:val="0"/>
                    </w:numPr>
                    <w:spacing w:line="260" w:lineRule="exact"/>
                    <w:ind w:left="709"/>
                    <w:rPr>
                      <w:rFonts w:eastAsia="Calibri" w:cs="Arial"/>
                      <w:sz w:val="20"/>
                      <w:szCs w:val="20"/>
                      <w:lang w:val="sl-SI" w:eastAsia="en-US"/>
                    </w:rPr>
                  </w:pPr>
                  <w:r>
                    <w:rPr>
                      <w:rFonts w:eastAsia="Calibri" w:cs="Arial"/>
                      <w:sz w:val="20"/>
                      <w:szCs w:val="20"/>
                      <w:lang w:val="sl-SI" w:eastAsia="en-US"/>
                    </w:rPr>
                    <w:t>/</w:t>
                  </w:r>
                </w:p>
                <w:p w14:paraId="0E5C56C8" w14:textId="77777777" w:rsidR="00D27F6C" w:rsidRPr="00415A84" w:rsidRDefault="00D27F6C" w:rsidP="00766741">
                  <w:pPr>
                    <w:pStyle w:val="Alineazaodstavkom"/>
                    <w:numPr>
                      <w:ilvl w:val="0"/>
                      <w:numId w:val="0"/>
                    </w:numPr>
                    <w:spacing w:line="260" w:lineRule="exact"/>
                    <w:ind w:left="709"/>
                    <w:rPr>
                      <w:rFonts w:eastAsia="Calibri" w:cs="Arial"/>
                      <w:sz w:val="20"/>
                      <w:szCs w:val="20"/>
                      <w:lang w:val="sl-SI" w:eastAsia="en-US"/>
                    </w:rPr>
                  </w:pPr>
                </w:p>
                <w:p w14:paraId="6DF7D1D9" w14:textId="77777777" w:rsidR="005C7977" w:rsidRPr="00D27F6C" w:rsidRDefault="005C7977" w:rsidP="00766741">
                  <w:pPr>
                    <w:pStyle w:val="Odsek"/>
                    <w:numPr>
                      <w:ilvl w:val="0"/>
                      <w:numId w:val="0"/>
                    </w:numPr>
                    <w:spacing w:before="0" w:after="0" w:line="260" w:lineRule="exact"/>
                    <w:jc w:val="left"/>
                    <w:rPr>
                      <w:rFonts w:eastAsia="Calibri" w:cs="Arial"/>
                      <w:sz w:val="20"/>
                      <w:szCs w:val="20"/>
                      <w:lang w:val="sl-SI" w:eastAsia="en-US"/>
                    </w:rPr>
                  </w:pPr>
                  <w:r w:rsidRPr="004A5916">
                    <w:rPr>
                      <w:rFonts w:eastAsia="Calibri" w:cs="Arial"/>
                      <w:sz w:val="20"/>
                      <w:szCs w:val="20"/>
                      <w:lang w:val="sl-SI" w:eastAsia="en-US"/>
                    </w:rPr>
                    <w:t>7. Prikaz sodelovanja javnosti pri pripravi predloga zakona:</w:t>
                  </w:r>
                </w:p>
                <w:p w14:paraId="0779F0A8" w14:textId="77777777" w:rsidR="00D27F6C" w:rsidRDefault="00D27F6C" w:rsidP="00766741">
                  <w:pPr>
                    <w:pStyle w:val="Odsek"/>
                    <w:numPr>
                      <w:ilvl w:val="0"/>
                      <w:numId w:val="0"/>
                    </w:numPr>
                    <w:spacing w:before="0" w:after="0" w:line="260" w:lineRule="exact"/>
                    <w:jc w:val="left"/>
                    <w:rPr>
                      <w:rFonts w:eastAsia="Calibri" w:cs="Arial"/>
                      <w:b w:val="0"/>
                      <w:sz w:val="20"/>
                      <w:szCs w:val="20"/>
                      <w:lang w:val="sl-SI" w:eastAsia="en-US"/>
                    </w:rPr>
                  </w:pPr>
                </w:p>
                <w:p w14:paraId="6A6AE286" w14:textId="77777777" w:rsidR="00766741" w:rsidRPr="00415A84" w:rsidRDefault="00766741" w:rsidP="00766741">
                  <w:pPr>
                    <w:pStyle w:val="Odsek"/>
                    <w:numPr>
                      <w:ilvl w:val="0"/>
                      <w:numId w:val="0"/>
                    </w:numPr>
                    <w:spacing w:before="0" w:after="0" w:line="260" w:lineRule="exact"/>
                    <w:jc w:val="left"/>
                    <w:rPr>
                      <w:rFonts w:eastAsia="Calibri" w:cs="Arial"/>
                      <w:b w:val="0"/>
                      <w:sz w:val="20"/>
                      <w:szCs w:val="20"/>
                      <w:lang w:val="sl-SI" w:eastAsia="en-US"/>
                    </w:rPr>
                  </w:pPr>
                </w:p>
                <w:p w14:paraId="1B41C437" w14:textId="77777777" w:rsidR="005C7977" w:rsidRPr="00684337" w:rsidRDefault="005C7977" w:rsidP="00766741">
                  <w:pPr>
                    <w:pStyle w:val="Odsek"/>
                    <w:numPr>
                      <w:ilvl w:val="0"/>
                      <w:numId w:val="0"/>
                    </w:numPr>
                    <w:spacing w:before="0" w:after="0" w:line="260" w:lineRule="exact"/>
                    <w:jc w:val="both"/>
                    <w:rPr>
                      <w:rFonts w:eastAsia="Calibri" w:cs="Arial"/>
                      <w:sz w:val="20"/>
                      <w:szCs w:val="20"/>
                      <w:lang w:val="sl-SI" w:eastAsia="en-US"/>
                    </w:rPr>
                  </w:pPr>
                  <w:r w:rsidRPr="00684337">
                    <w:rPr>
                      <w:rFonts w:eastAsia="Calibri" w:cs="Arial"/>
                      <w:sz w:val="20"/>
                      <w:szCs w:val="20"/>
                      <w:lang w:val="sl-SI" w:eastAsia="en-US"/>
                    </w:rPr>
                    <w:t>8. Navedba, kateri predstavniki predlagatelja bodo sodelovali pri delu državnega zbora in delovnih teles</w:t>
                  </w:r>
                </w:p>
                <w:p w14:paraId="45114141" w14:textId="5AA95AAC" w:rsidR="005C7977" w:rsidRPr="00415A84" w:rsidRDefault="005C7977" w:rsidP="00684337">
                  <w:pPr>
                    <w:overflowPunct w:val="0"/>
                    <w:autoSpaceDE w:val="0"/>
                    <w:autoSpaceDN w:val="0"/>
                    <w:adjustRightInd w:val="0"/>
                    <w:spacing w:after="0" w:line="260" w:lineRule="exact"/>
                    <w:rPr>
                      <w:rFonts w:ascii="Arial" w:hAnsi="Arial" w:cs="Arial"/>
                      <w:sz w:val="20"/>
                      <w:szCs w:val="20"/>
                    </w:rPr>
                  </w:pPr>
                </w:p>
              </w:tc>
            </w:tr>
            <w:tr w:rsidR="005C7977" w:rsidRPr="00415A84" w14:paraId="37CD9A1D" w14:textId="77777777" w:rsidTr="00216268">
              <w:tc>
                <w:tcPr>
                  <w:tcW w:w="9213" w:type="dxa"/>
                </w:tcPr>
                <w:p w14:paraId="3133E6A4" w14:textId="77777777" w:rsidR="005C7977" w:rsidRDefault="005C7977" w:rsidP="00766741">
                  <w:pPr>
                    <w:pStyle w:val="Neotevilenodstavek"/>
                    <w:spacing w:before="0" w:after="0" w:line="260" w:lineRule="exact"/>
                    <w:rPr>
                      <w:rFonts w:eastAsia="Calibri" w:cs="Arial"/>
                      <w:sz w:val="20"/>
                      <w:szCs w:val="20"/>
                      <w:lang w:val="sl-SI" w:eastAsia="en-US"/>
                    </w:rPr>
                  </w:pPr>
                </w:p>
                <w:p w14:paraId="2F23EC82" w14:textId="77777777" w:rsidR="009D43D9" w:rsidRDefault="009D43D9" w:rsidP="00766741">
                  <w:pPr>
                    <w:pStyle w:val="Neotevilenodstavek"/>
                    <w:spacing w:before="0" w:after="0" w:line="260" w:lineRule="exact"/>
                    <w:rPr>
                      <w:rFonts w:eastAsia="Calibri" w:cs="Arial"/>
                      <w:sz w:val="20"/>
                      <w:szCs w:val="20"/>
                      <w:lang w:val="sl-SI" w:eastAsia="en-US"/>
                    </w:rPr>
                  </w:pPr>
                </w:p>
                <w:p w14:paraId="10350348" w14:textId="77777777" w:rsidR="009D43D9" w:rsidRDefault="009D43D9" w:rsidP="00766741">
                  <w:pPr>
                    <w:pStyle w:val="Neotevilenodstavek"/>
                    <w:spacing w:before="0" w:after="0" w:line="260" w:lineRule="exact"/>
                    <w:rPr>
                      <w:rFonts w:eastAsia="Calibri" w:cs="Arial"/>
                      <w:sz w:val="20"/>
                      <w:szCs w:val="20"/>
                      <w:lang w:val="sl-SI" w:eastAsia="en-US"/>
                    </w:rPr>
                  </w:pPr>
                </w:p>
                <w:p w14:paraId="5CCBA2A4" w14:textId="77777777" w:rsidR="009D43D9" w:rsidRDefault="009D43D9" w:rsidP="00766741">
                  <w:pPr>
                    <w:pStyle w:val="Neotevilenodstavek"/>
                    <w:spacing w:before="0" w:after="0" w:line="260" w:lineRule="exact"/>
                    <w:rPr>
                      <w:rFonts w:eastAsia="Calibri" w:cs="Arial"/>
                      <w:sz w:val="20"/>
                      <w:szCs w:val="20"/>
                      <w:lang w:val="sl-SI" w:eastAsia="en-US"/>
                    </w:rPr>
                  </w:pPr>
                </w:p>
                <w:p w14:paraId="6C1200C5" w14:textId="77777777" w:rsidR="009D43D9" w:rsidRDefault="009D43D9" w:rsidP="00766741">
                  <w:pPr>
                    <w:pStyle w:val="Neotevilenodstavek"/>
                    <w:spacing w:before="0" w:after="0" w:line="260" w:lineRule="exact"/>
                    <w:rPr>
                      <w:rFonts w:eastAsia="Calibri" w:cs="Arial"/>
                      <w:sz w:val="20"/>
                      <w:szCs w:val="20"/>
                      <w:lang w:val="sl-SI" w:eastAsia="en-US"/>
                    </w:rPr>
                  </w:pPr>
                </w:p>
                <w:p w14:paraId="09B4780F" w14:textId="77777777" w:rsidR="00D27F6C" w:rsidRDefault="00D27F6C" w:rsidP="00766741">
                  <w:pPr>
                    <w:pStyle w:val="Neotevilenodstavek"/>
                    <w:spacing w:before="0" w:after="0" w:line="260" w:lineRule="exact"/>
                    <w:rPr>
                      <w:rFonts w:eastAsia="Calibri" w:cs="Arial"/>
                      <w:sz w:val="20"/>
                      <w:szCs w:val="20"/>
                      <w:lang w:val="sl-SI" w:eastAsia="en-US"/>
                    </w:rPr>
                  </w:pPr>
                </w:p>
                <w:p w14:paraId="6B6E9FE7" w14:textId="77777777" w:rsidR="00D27F6C" w:rsidRDefault="00D27F6C" w:rsidP="00766741">
                  <w:pPr>
                    <w:pStyle w:val="Neotevilenodstavek"/>
                    <w:spacing w:before="0" w:after="0" w:line="260" w:lineRule="exact"/>
                    <w:rPr>
                      <w:rFonts w:eastAsia="Calibri" w:cs="Arial"/>
                      <w:sz w:val="20"/>
                      <w:szCs w:val="20"/>
                      <w:lang w:val="sl-SI" w:eastAsia="en-US"/>
                    </w:rPr>
                  </w:pPr>
                </w:p>
                <w:p w14:paraId="0DF95390" w14:textId="77777777" w:rsidR="00D27F6C" w:rsidRDefault="00D27F6C" w:rsidP="00766741">
                  <w:pPr>
                    <w:pStyle w:val="Neotevilenodstavek"/>
                    <w:spacing w:before="0" w:after="0" w:line="260" w:lineRule="exact"/>
                    <w:rPr>
                      <w:rFonts w:eastAsia="Calibri" w:cs="Arial"/>
                      <w:sz w:val="20"/>
                      <w:szCs w:val="20"/>
                      <w:lang w:val="sl-SI" w:eastAsia="en-US"/>
                    </w:rPr>
                  </w:pPr>
                </w:p>
                <w:p w14:paraId="31076B7E" w14:textId="77777777" w:rsidR="00D27F6C" w:rsidRDefault="00D27F6C" w:rsidP="00766741">
                  <w:pPr>
                    <w:pStyle w:val="Neotevilenodstavek"/>
                    <w:spacing w:before="0" w:after="0" w:line="260" w:lineRule="exact"/>
                    <w:rPr>
                      <w:rFonts w:eastAsia="Calibri" w:cs="Arial"/>
                      <w:sz w:val="20"/>
                      <w:szCs w:val="20"/>
                      <w:lang w:val="sl-SI" w:eastAsia="en-US"/>
                    </w:rPr>
                  </w:pPr>
                </w:p>
                <w:p w14:paraId="04B392C0" w14:textId="77777777" w:rsidR="00D27F6C" w:rsidRDefault="00D27F6C" w:rsidP="00766741">
                  <w:pPr>
                    <w:pStyle w:val="Neotevilenodstavek"/>
                    <w:spacing w:before="0" w:after="0" w:line="260" w:lineRule="exact"/>
                    <w:rPr>
                      <w:rFonts w:eastAsia="Calibri" w:cs="Arial"/>
                      <w:sz w:val="20"/>
                      <w:szCs w:val="20"/>
                      <w:lang w:val="sl-SI" w:eastAsia="en-US"/>
                    </w:rPr>
                  </w:pPr>
                </w:p>
                <w:p w14:paraId="78117848" w14:textId="77777777" w:rsidR="00D27F6C" w:rsidRDefault="00D27F6C" w:rsidP="00766741">
                  <w:pPr>
                    <w:pStyle w:val="Neotevilenodstavek"/>
                    <w:spacing w:before="0" w:after="0" w:line="260" w:lineRule="exact"/>
                    <w:rPr>
                      <w:rFonts w:eastAsia="Calibri" w:cs="Arial"/>
                      <w:sz w:val="20"/>
                      <w:szCs w:val="20"/>
                      <w:lang w:val="sl-SI" w:eastAsia="en-US"/>
                    </w:rPr>
                  </w:pPr>
                </w:p>
                <w:p w14:paraId="51406C9F" w14:textId="77777777" w:rsidR="00D27F6C" w:rsidRDefault="00D27F6C" w:rsidP="00766741">
                  <w:pPr>
                    <w:pStyle w:val="Neotevilenodstavek"/>
                    <w:spacing w:before="0" w:after="0" w:line="260" w:lineRule="exact"/>
                    <w:rPr>
                      <w:rFonts w:eastAsia="Calibri" w:cs="Arial"/>
                      <w:sz w:val="20"/>
                      <w:szCs w:val="20"/>
                      <w:lang w:val="sl-SI" w:eastAsia="en-US"/>
                    </w:rPr>
                  </w:pPr>
                </w:p>
                <w:p w14:paraId="2F940361" w14:textId="77777777" w:rsidR="00D27F6C" w:rsidRDefault="00D27F6C" w:rsidP="00766741">
                  <w:pPr>
                    <w:pStyle w:val="Neotevilenodstavek"/>
                    <w:spacing w:before="0" w:after="0" w:line="260" w:lineRule="exact"/>
                    <w:rPr>
                      <w:rFonts w:eastAsia="Calibri" w:cs="Arial"/>
                      <w:sz w:val="20"/>
                      <w:szCs w:val="20"/>
                      <w:lang w:val="sl-SI" w:eastAsia="en-US"/>
                    </w:rPr>
                  </w:pPr>
                </w:p>
                <w:p w14:paraId="5C525E21" w14:textId="77777777" w:rsidR="00D27F6C" w:rsidRDefault="00D27F6C" w:rsidP="00766741">
                  <w:pPr>
                    <w:pStyle w:val="Neotevilenodstavek"/>
                    <w:spacing w:before="0" w:after="0" w:line="260" w:lineRule="exact"/>
                    <w:rPr>
                      <w:rFonts w:eastAsia="Calibri" w:cs="Arial"/>
                      <w:sz w:val="20"/>
                      <w:szCs w:val="20"/>
                      <w:lang w:val="sl-SI" w:eastAsia="en-US"/>
                    </w:rPr>
                  </w:pPr>
                </w:p>
                <w:p w14:paraId="5EF1F32D" w14:textId="77777777" w:rsidR="00D27F6C" w:rsidRDefault="00D27F6C" w:rsidP="00766741">
                  <w:pPr>
                    <w:pStyle w:val="Neotevilenodstavek"/>
                    <w:spacing w:before="0" w:after="0" w:line="260" w:lineRule="exact"/>
                    <w:rPr>
                      <w:rFonts w:eastAsia="Calibri" w:cs="Arial"/>
                      <w:sz w:val="20"/>
                      <w:szCs w:val="20"/>
                      <w:lang w:val="sl-SI" w:eastAsia="en-US"/>
                    </w:rPr>
                  </w:pPr>
                </w:p>
                <w:p w14:paraId="030AE15D" w14:textId="77777777" w:rsidR="00D27F6C" w:rsidRDefault="00D27F6C" w:rsidP="00766741">
                  <w:pPr>
                    <w:pStyle w:val="Neotevilenodstavek"/>
                    <w:spacing w:before="0" w:after="0" w:line="260" w:lineRule="exact"/>
                    <w:rPr>
                      <w:rFonts w:eastAsia="Calibri" w:cs="Arial"/>
                      <w:sz w:val="20"/>
                      <w:szCs w:val="20"/>
                      <w:lang w:val="sl-SI" w:eastAsia="en-US"/>
                    </w:rPr>
                  </w:pPr>
                </w:p>
                <w:p w14:paraId="5374625C" w14:textId="77777777" w:rsidR="00D27F6C" w:rsidRDefault="00D27F6C" w:rsidP="00766741">
                  <w:pPr>
                    <w:pStyle w:val="Neotevilenodstavek"/>
                    <w:spacing w:before="0" w:after="0" w:line="260" w:lineRule="exact"/>
                    <w:rPr>
                      <w:rFonts w:eastAsia="Calibri" w:cs="Arial"/>
                      <w:sz w:val="20"/>
                      <w:szCs w:val="20"/>
                      <w:lang w:val="sl-SI" w:eastAsia="en-US"/>
                    </w:rPr>
                  </w:pPr>
                </w:p>
                <w:p w14:paraId="32EE3865" w14:textId="77777777" w:rsidR="00D27F6C" w:rsidRDefault="00D27F6C" w:rsidP="00766741">
                  <w:pPr>
                    <w:pStyle w:val="Neotevilenodstavek"/>
                    <w:spacing w:before="0" w:after="0" w:line="260" w:lineRule="exact"/>
                    <w:rPr>
                      <w:rFonts w:eastAsia="Calibri" w:cs="Arial"/>
                      <w:sz w:val="20"/>
                      <w:szCs w:val="20"/>
                      <w:lang w:val="sl-SI" w:eastAsia="en-US"/>
                    </w:rPr>
                  </w:pPr>
                </w:p>
                <w:p w14:paraId="77F6446B" w14:textId="77777777" w:rsidR="00D27F6C" w:rsidRDefault="00D27F6C" w:rsidP="00766741">
                  <w:pPr>
                    <w:pStyle w:val="Neotevilenodstavek"/>
                    <w:spacing w:before="0" w:after="0" w:line="260" w:lineRule="exact"/>
                    <w:rPr>
                      <w:rFonts w:eastAsia="Calibri" w:cs="Arial"/>
                      <w:sz w:val="20"/>
                      <w:szCs w:val="20"/>
                      <w:lang w:val="sl-SI" w:eastAsia="en-US"/>
                    </w:rPr>
                  </w:pPr>
                </w:p>
                <w:p w14:paraId="3DABB2E2" w14:textId="77777777" w:rsidR="00D27F6C" w:rsidRDefault="00D27F6C" w:rsidP="00766741">
                  <w:pPr>
                    <w:pStyle w:val="Neotevilenodstavek"/>
                    <w:spacing w:before="0" w:after="0" w:line="260" w:lineRule="exact"/>
                    <w:rPr>
                      <w:rFonts w:eastAsia="Calibri" w:cs="Arial"/>
                      <w:sz w:val="20"/>
                      <w:szCs w:val="20"/>
                      <w:lang w:val="sl-SI" w:eastAsia="en-US"/>
                    </w:rPr>
                  </w:pPr>
                </w:p>
                <w:p w14:paraId="7EFA653C" w14:textId="77777777" w:rsidR="00D27F6C" w:rsidRDefault="00D27F6C" w:rsidP="00766741">
                  <w:pPr>
                    <w:pStyle w:val="Neotevilenodstavek"/>
                    <w:spacing w:before="0" w:after="0" w:line="260" w:lineRule="exact"/>
                    <w:rPr>
                      <w:rFonts w:eastAsia="Calibri" w:cs="Arial"/>
                      <w:sz w:val="20"/>
                      <w:szCs w:val="20"/>
                      <w:lang w:val="sl-SI" w:eastAsia="en-US"/>
                    </w:rPr>
                  </w:pPr>
                </w:p>
                <w:p w14:paraId="4448CC2C" w14:textId="77777777" w:rsidR="00D27F6C" w:rsidRPr="00415A84" w:rsidRDefault="00D27F6C" w:rsidP="00766741">
                  <w:pPr>
                    <w:pStyle w:val="Neotevilenodstavek"/>
                    <w:spacing w:before="0" w:after="0" w:line="260" w:lineRule="exact"/>
                    <w:rPr>
                      <w:rFonts w:eastAsia="Calibri" w:cs="Arial"/>
                      <w:sz w:val="20"/>
                      <w:szCs w:val="20"/>
                      <w:lang w:val="sl-SI" w:eastAsia="en-US"/>
                    </w:rPr>
                  </w:pPr>
                </w:p>
              </w:tc>
            </w:tr>
            <w:tr w:rsidR="005C7977" w:rsidRPr="00415A84" w14:paraId="69CA39F9" w14:textId="77777777" w:rsidTr="00F20334">
              <w:trPr>
                <w:trHeight w:val="11293"/>
              </w:trPr>
              <w:tc>
                <w:tcPr>
                  <w:tcW w:w="9213" w:type="dxa"/>
                </w:tcPr>
                <w:p w14:paraId="659E141D" w14:textId="07ADE5D1" w:rsidR="005C7977" w:rsidRPr="00DD0E22" w:rsidRDefault="005C7977" w:rsidP="00766741">
                  <w:pPr>
                    <w:pStyle w:val="Poglavje"/>
                    <w:spacing w:before="0" w:after="0" w:line="260" w:lineRule="exact"/>
                    <w:jc w:val="left"/>
                    <w:rPr>
                      <w:rFonts w:eastAsia="Calibri"/>
                      <w:sz w:val="20"/>
                      <w:szCs w:val="20"/>
                      <w:lang w:eastAsia="en-US"/>
                    </w:rPr>
                  </w:pPr>
                  <w:r w:rsidRPr="00DD0E22">
                    <w:rPr>
                      <w:rFonts w:eastAsia="Calibri"/>
                      <w:sz w:val="20"/>
                      <w:szCs w:val="20"/>
                      <w:lang w:eastAsia="en-US"/>
                    </w:rPr>
                    <w:lastRenderedPageBreak/>
                    <w:t>II. BESEDILO ČLENOV</w:t>
                  </w:r>
                </w:p>
                <w:p w14:paraId="0B88A1A2" w14:textId="77777777" w:rsidR="00766741" w:rsidRPr="00415A84" w:rsidRDefault="00766741" w:rsidP="00766741">
                  <w:pPr>
                    <w:rPr>
                      <w:rFonts w:ascii="Arial" w:hAnsi="Arial" w:cs="Arial"/>
                      <w:sz w:val="20"/>
                      <w:szCs w:val="20"/>
                    </w:rPr>
                  </w:pPr>
                </w:p>
                <w:p w14:paraId="7FF83FCE" w14:textId="07AD862B" w:rsidR="007D5CF5" w:rsidRPr="00F20334" w:rsidRDefault="007D5CF5" w:rsidP="007D5CF5">
                  <w:pPr>
                    <w:jc w:val="center"/>
                    <w:rPr>
                      <w:rFonts w:ascii="Arial" w:hAnsi="Arial" w:cs="Arial"/>
                      <w:sz w:val="20"/>
                      <w:szCs w:val="20"/>
                    </w:rPr>
                  </w:pPr>
                  <w:r w:rsidRPr="00F20334">
                    <w:rPr>
                      <w:rFonts w:ascii="Arial" w:hAnsi="Arial" w:cs="Arial"/>
                      <w:sz w:val="20"/>
                      <w:szCs w:val="20"/>
                    </w:rPr>
                    <w:t>1. člen</w:t>
                  </w:r>
                </w:p>
                <w:p w14:paraId="5A0913B4" w14:textId="521BE207" w:rsidR="007D5CF5" w:rsidRPr="00F20334" w:rsidRDefault="007D5CF5" w:rsidP="007D5CF5">
                  <w:pPr>
                    <w:jc w:val="both"/>
                    <w:rPr>
                      <w:rFonts w:ascii="Arial" w:hAnsi="Arial" w:cs="Arial"/>
                      <w:sz w:val="20"/>
                      <w:szCs w:val="20"/>
                    </w:rPr>
                  </w:pPr>
                  <w:r w:rsidRPr="00F20334">
                    <w:rPr>
                      <w:rFonts w:ascii="Arial" w:hAnsi="Arial" w:cs="Arial"/>
                      <w:sz w:val="20"/>
                      <w:szCs w:val="20"/>
                    </w:rPr>
                    <w:t xml:space="preserve">Četrti odstavek 4. člena </w:t>
                  </w:r>
                  <w:r w:rsidR="00AD1482" w:rsidRPr="00F20334">
                    <w:rPr>
                      <w:rFonts w:ascii="Arial" w:hAnsi="Arial" w:cs="Arial"/>
                      <w:sz w:val="20"/>
                      <w:szCs w:val="20"/>
                    </w:rPr>
                    <w:t>z</w:t>
                  </w:r>
                  <w:r w:rsidR="00B26041" w:rsidRPr="00F20334">
                    <w:rPr>
                      <w:rFonts w:ascii="Arial" w:hAnsi="Arial" w:cs="Arial"/>
                      <w:sz w:val="20"/>
                      <w:szCs w:val="20"/>
                    </w:rPr>
                    <w:t>akona o davku na tonažo</w:t>
                  </w:r>
                  <w:r w:rsidRPr="00F20334">
                    <w:rPr>
                      <w:rFonts w:ascii="Arial" w:hAnsi="Arial" w:cs="Arial"/>
                      <w:sz w:val="20"/>
                      <w:szCs w:val="20"/>
                    </w:rPr>
                    <w:t xml:space="preserve"> se spremeni tako, da se glasi:</w:t>
                  </w:r>
                </w:p>
                <w:p w14:paraId="2945D02F" w14:textId="7632C080" w:rsidR="007D5CF5" w:rsidRPr="00F20334" w:rsidRDefault="007D5CF5" w:rsidP="007D5CF5">
                  <w:pPr>
                    <w:jc w:val="both"/>
                    <w:rPr>
                      <w:rFonts w:ascii="Arial" w:hAnsi="Arial" w:cs="Arial"/>
                      <w:i/>
                      <w:sz w:val="20"/>
                      <w:szCs w:val="20"/>
                    </w:rPr>
                  </w:pPr>
                  <w:r w:rsidRPr="00F20334">
                    <w:rPr>
                      <w:rFonts w:ascii="Arial" w:hAnsi="Arial" w:cs="Arial"/>
                      <w:sz w:val="20"/>
                      <w:szCs w:val="20"/>
                    </w:rPr>
                    <w:t xml:space="preserve">«Če zavezanec ne izpolni pogoja iz 3. točke prvega odstavka tega člena, mora v davčnem obračunu za davčno obdobje, v katerem se izteče petletno obdobje, v davčno osnovo, ki jo ugotavlja po zakonu, ki ureja davek od dohodkov pravnih oseb, </w:t>
                  </w:r>
                  <w:r w:rsidR="004B6E18" w:rsidRPr="00F20334">
                    <w:rPr>
                      <w:rFonts w:ascii="Arial" w:hAnsi="Arial" w:cs="Arial"/>
                      <w:sz w:val="20"/>
                      <w:szCs w:val="20"/>
                    </w:rPr>
                    <w:t>vključiti</w:t>
                  </w:r>
                  <w:r w:rsidR="004B6E18" w:rsidRPr="00F20334">
                    <w:rPr>
                      <w:rFonts w:ascii="Arial" w:hAnsi="Arial" w:cs="Arial"/>
                      <w:color w:val="FF0000"/>
                      <w:sz w:val="20"/>
                      <w:szCs w:val="20"/>
                    </w:rPr>
                    <w:t xml:space="preserve"> </w:t>
                  </w:r>
                  <w:r w:rsidR="00EA3F19" w:rsidRPr="00C56606">
                    <w:rPr>
                      <w:rFonts w:ascii="Arial" w:hAnsi="Arial" w:cs="Arial"/>
                      <w:sz w:val="20"/>
                      <w:szCs w:val="20"/>
                    </w:rPr>
                    <w:t xml:space="preserve">pozitivno </w:t>
                  </w:r>
                  <w:r w:rsidRPr="00C56606">
                    <w:rPr>
                      <w:rFonts w:ascii="Arial" w:hAnsi="Arial" w:cs="Arial"/>
                      <w:sz w:val="20"/>
                      <w:szCs w:val="20"/>
                    </w:rPr>
                    <w:t xml:space="preserve">razliko med prodajno vrednostjo ladje in nabavno vrednostjo ladje, zmanjšano za do dneva prodaje obračunano amortizacijo, katere najnižja letna amortizacijska stopnja za namene tega izračuna znaša najmanj </w:t>
                  </w:r>
                  <w:r w:rsidR="004C3084" w:rsidRPr="00C56606">
                    <w:rPr>
                      <w:rFonts w:ascii="Arial" w:hAnsi="Arial" w:cs="Arial"/>
                      <w:sz w:val="20"/>
                      <w:szCs w:val="20"/>
                    </w:rPr>
                    <w:t xml:space="preserve">4 </w:t>
                  </w:r>
                  <w:r w:rsidRPr="00C56606">
                    <w:rPr>
                      <w:rFonts w:ascii="Arial" w:hAnsi="Arial" w:cs="Arial"/>
                      <w:sz w:val="20"/>
                      <w:szCs w:val="20"/>
                    </w:rPr>
                    <w:t>% nabavne vrednosti</w:t>
                  </w:r>
                  <w:r w:rsidR="007E7212" w:rsidRPr="00C56606">
                    <w:rPr>
                      <w:rFonts w:ascii="Arial" w:hAnsi="Arial" w:cs="Arial"/>
                      <w:sz w:val="20"/>
                      <w:szCs w:val="20"/>
                    </w:rPr>
                    <w:t xml:space="preserve"> (v </w:t>
                  </w:r>
                  <w:proofErr w:type="spellStart"/>
                  <w:r w:rsidR="007E7212" w:rsidRPr="00C56606">
                    <w:rPr>
                      <w:rFonts w:ascii="Arial" w:hAnsi="Arial" w:cs="Arial"/>
                      <w:sz w:val="20"/>
                      <w:szCs w:val="20"/>
                    </w:rPr>
                    <w:t>nadaljnem</w:t>
                  </w:r>
                  <w:proofErr w:type="spellEnd"/>
                  <w:r w:rsidR="007E7212" w:rsidRPr="00C56606">
                    <w:rPr>
                      <w:rFonts w:ascii="Arial" w:hAnsi="Arial" w:cs="Arial"/>
                      <w:sz w:val="20"/>
                      <w:szCs w:val="20"/>
                    </w:rPr>
                    <w:t xml:space="preserve"> besedilu: pozit</w:t>
                  </w:r>
                  <w:r w:rsidR="00A934CD" w:rsidRPr="00C56606">
                    <w:rPr>
                      <w:rFonts w:ascii="Arial" w:hAnsi="Arial" w:cs="Arial"/>
                      <w:sz w:val="20"/>
                      <w:szCs w:val="20"/>
                    </w:rPr>
                    <w:t>i</w:t>
                  </w:r>
                  <w:r w:rsidR="007E7212" w:rsidRPr="00C56606">
                    <w:rPr>
                      <w:rFonts w:ascii="Arial" w:hAnsi="Arial" w:cs="Arial"/>
                      <w:sz w:val="20"/>
                      <w:szCs w:val="20"/>
                    </w:rPr>
                    <w:t>vna razlika).</w:t>
                  </w:r>
                  <w:r w:rsidRPr="00C56606">
                    <w:rPr>
                      <w:rFonts w:ascii="Arial" w:hAnsi="Arial" w:cs="Arial"/>
                      <w:i/>
                      <w:sz w:val="20"/>
                      <w:szCs w:val="20"/>
                    </w:rPr>
                    <w:t>«</w:t>
                  </w:r>
                  <w:r w:rsidR="00DC0E2A" w:rsidRPr="00C56606">
                    <w:rPr>
                      <w:rFonts w:ascii="Arial" w:hAnsi="Arial" w:cs="Arial"/>
                      <w:i/>
                      <w:sz w:val="20"/>
                      <w:szCs w:val="20"/>
                    </w:rPr>
                    <w:t>.</w:t>
                  </w:r>
                </w:p>
                <w:p w14:paraId="6F8FCEEF" w14:textId="77777777" w:rsidR="005D2FD3" w:rsidRPr="00F20334" w:rsidRDefault="005D2FD3" w:rsidP="00743FAD">
                  <w:pPr>
                    <w:jc w:val="center"/>
                    <w:rPr>
                      <w:rFonts w:ascii="Arial" w:hAnsi="Arial" w:cs="Arial"/>
                      <w:sz w:val="20"/>
                      <w:szCs w:val="20"/>
                    </w:rPr>
                  </w:pPr>
                  <w:r w:rsidRPr="00F20334">
                    <w:rPr>
                      <w:rFonts w:ascii="Arial" w:hAnsi="Arial" w:cs="Arial"/>
                      <w:sz w:val="20"/>
                      <w:szCs w:val="20"/>
                    </w:rPr>
                    <w:t>2. člen</w:t>
                  </w:r>
                </w:p>
                <w:p w14:paraId="3C60D02E" w14:textId="633E5A8D" w:rsidR="00B26041" w:rsidRPr="00F20334" w:rsidRDefault="00ED09D3" w:rsidP="005D2FD3">
                  <w:pPr>
                    <w:jc w:val="both"/>
                    <w:rPr>
                      <w:rFonts w:ascii="Arial" w:hAnsi="Arial" w:cs="Arial"/>
                      <w:sz w:val="20"/>
                      <w:szCs w:val="20"/>
                    </w:rPr>
                  </w:pPr>
                  <w:r w:rsidRPr="00F20334">
                    <w:rPr>
                      <w:rFonts w:ascii="Arial" w:hAnsi="Arial" w:cs="Arial"/>
                      <w:sz w:val="20"/>
                      <w:szCs w:val="20"/>
                    </w:rPr>
                    <w:t>P</w:t>
                  </w:r>
                  <w:r w:rsidR="005D2FD3" w:rsidRPr="00F20334">
                    <w:rPr>
                      <w:rFonts w:ascii="Arial" w:hAnsi="Arial" w:cs="Arial"/>
                      <w:sz w:val="20"/>
                      <w:szCs w:val="20"/>
                    </w:rPr>
                    <w:t>rv</w:t>
                  </w:r>
                  <w:r w:rsidR="00B26041" w:rsidRPr="00F20334">
                    <w:rPr>
                      <w:rFonts w:ascii="Arial" w:hAnsi="Arial" w:cs="Arial"/>
                      <w:sz w:val="20"/>
                      <w:szCs w:val="20"/>
                    </w:rPr>
                    <w:t>a</w:t>
                  </w:r>
                  <w:r w:rsidR="005D2FD3" w:rsidRPr="00F20334">
                    <w:rPr>
                      <w:rFonts w:ascii="Arial" w:hAnsi="Arial" w:cs="Arial"/>
                      <w:sz w:val="20"/>
                      <w:szCs w:val="20"/>
                    </w:rPr>
                    <w:t xml:space="preserve"> točk</w:t>
                  </w:r>
                  <w:r w:rsidR="00B26041" w:rsidRPr="00F20334">
                    <w:rPr>
                      <w:rFonts w:ascii="Arial" w:hAnsi="Arial" w:cs="Arial"/>
                      <w:sz w:val="20"/>
                      <w:szCs w:val="20"/>
                    </w:rPr>
                    <w:t xml:space="preserve">a </w:t>
                  </w:r>
                  <w:r w:rsidR="005D2FD3" w:rsidRPr="00F20334">
                    <w:rPr>
                      <w:rFonts w:ascii="Arial" w:hAnsi="Arial" w:cs="Arial"/>
                      <w:sz w:val="20"/>
                      <w:szCs w:val="20"/>
                    </w:rPr>
                    <w:t xml:space="preserve">tretjega odstavka 9. člena se </w:t>
                  </w:r>
                  <w:r w:rsidRPr="00F20334">
                    <w:rPr>
                      <w:rFonts w:ascii="Arial" w:hAnsi="Arial" w:cs="Arial"/>
                      <w:sz w:val="20"/>
                      <w:szCs w:val="20"/>
                    </w:rPr>
                    <w:t>spremeni tako, da se glasi</w:t>
                  </w:r>
                  <w:r w:rsidR="005D2FD3" w:rsidRPr="00F20334">
                    <w:rPr>
                      <w:rFonts w:ascii="Arial" w:hAnsi="Arial" w:cs="Arial"/>
                      <w:sz w:val="20"/>
                      <w:szCs w:val="20"/>
                    </w:rPr>
                    <w:t>:</w:t>
                  </w:r>
                </w:p>
                <w:p w14:paraId="3A78703F" w14:textId="6B1A1814" w:rsidR="005D2FD3" w:rsidRPr="00F20334" w:rsidRDefault="00F20334" w:rsidP="005D2FD3">
                  <w:pPr>
                    <w:jc w:val="both"/>
                    <w:rPr>
                      <w:rFonts w:ascii="Arial" w:hAnsi="Arial" w:cs="Arial"/>
                      <w:i/>
                      <w:sz w:val="20"/>
                      <w:szCs w:val="20"/>
                    </w:rPr>
                  </w:pPr>
                  <w:r w:rsidRPr="00F20334">
                    <w:rPr>
                      <w:rFonts w:ascii="Arial" w:hAnsi="Arial" w:cs="Arial"/>
                      <w:i/>
                      <w:sz w:val="20"/>
                      <w:szCs w:val="20"/>
                    </w:rPr>
                    <w:t>«</w:t>
                  </w:r>
                  <w:r w:rsidR="00ED09D3" w:rsidRPr="00F20334">
                    <w:rPr>
                      <w:rFonts w:ascii="Arial" w:hAnsi="Arial" w:cs="Arial"/>
                      <w:sz w:val="20"/>
                      <w:szCs w:val="20"/>
                    </w:rPr>
                    <w:t xml:space="preserve">pluje pod zastavo Republike Slovenije ali zastavo druge države članice Evropske unije </w:t>
                  </w:r>
                  <w:r w:rsidR="005D2FD3" w:rsidRPr="00C56606">
                    <w:rPr>
                      <w:rFonts w:ascii="Arial" w:hAnsi="Arial" w:cs="Arial"/>
                      <w:sz w:val="20"/>
                      <w:szCs w:val="20"/>
                    </w:rPr>
                    <w:t>ali države članice Evropskega gospodarskega prostora (v nadaljnjem besedilu: EGP), ki hkrati niso države članice EU</w:t>
                  </w:r>
                  <w:r w:rsidR="00ED09D3" w:rsidRPr="00C56606">
                    <w:rPr>
                      <w:rFonts w:ascii="Arial" w:hAnsi="Arial" w:cs="Arial"/>
                      <w:sz w:val="20"/>
                      <w:szCs w:val="20"/>
                    </w:rPr>
                    <w:t xml:space="preserve"> </w:t>
                  </w:r>
                  <w:r w:rsidR="00ED09D3" w:rsidRPr="00F20334">
                    <w:rPr>
                      <w:rFonts w:ascii="Arial" w:hAnsi="Arial" w:cs="Arial"/>
                      <w:sz w:val="20"/>
                      <w:szCs w:val="20"/>
                    </w:rPr>
                    <w:t>(v nadaljnjem besedilu: države članice)</w:t>
                  </w:r>
                  <w:r w:rsidR="007E7212" w:rsidRPr="00F20334">
                    <w:rPr>
                      <w:rFonts w:ascii="Arial" w:hAnsi="Arial" w:cs="Arial"/>
                      <w:sz w:val="20"/>
                      <w:szCs w:val="20"/>
                    </w:rPr>
                    <w:t xml:space="preserve"> in</w:t>
                  </w:r>
                  <w:r w:rsidR="005D2FD3" w:rsidRPr="00F20334">
                    <w:rPr>
                      <w:rFonts w:ascii="Arial" w:hAnsi="Arial" w:cs="Arial"/>
                      <w:i/>
                      <w:sz w:val="20"/>
                      <w:szCs w:val="20"/>
                    </w:rPr>
                    <w:t>«</w:t>
                  </w:r>
                  <w:r w:rsidR="00ED09D3" w:rsidRPr="00F20334">
                    <w:rPr>
                      <w:rFonts w:ascii="Arial" w:hAnsi="Arial" w:cs="Arial"/>
                      <w:i/>
                      <w:sz w:val="20"/>
                      <w:szCs w:val="20"/>
                    </w:rPr>
                    <w:t>.</w:t>
                  </w:r>
                </w:p>
                <w:p w14:paraId="1740E364" w14:textId="77777777" w:rsidR="005D2FD3" w:rsidRPr="00F20334" w:rsidRDefault="005D2FD3" w:rsidP="00743FAD">
                  <w:pPr>
                    <w:jc w:val="center"/>
                    <w:rPr>
                      <w:rFonts w:ascii="Arial" w:hAnsi="Arial" w:cs="Arial"/>
                      <w:i/>
                      <w:sz w:val="20"/>
                      <w:szCs w:val="20"/>
                    </w:rPr>
                  </w:pPr>
                </w:p>
                <w:p w14:paraId="3F43DD79" w14:textId="3027A55B" w:rsidR="00DD0E22" w:rsidRPr="00F20334" w:rsidRDefault="005D2FD3" w:rsidP="00743FAD">
                  <w:pPr>
                    <w:jc w:val="center"/>
                    <w:rPr>
                      <w:rFonts w:ascii="Arial" w:hAnsi="Arial" w:cs="Arial"/>
                      <w:sz w:val="20"/>
                      <w:szCs w:val="20"/>
                    </w:rPr>
                  </w:pPr>
                  <w:r w:rsidRPr="00F20334">
                    <w:rPr>
                      <w:rFonts w:ascii="Arial" w:hAnsi="Arial" w:cs="Arial"/>
                      <w:sz w:val="20"/>
                      <w:szCs w:val="20"/>
                    </w:rPr>
                    <w:t>3</w:t>
                  </w:r>
                  <w:r w:rsidR="00DD0E22" w:rsidRPr="00F20334">
                    <w:rPr>
                      <w:rFonts w:ascii="Arial" w:hAnsi="Arial" w:cs="Arial"/>
                      <w:sz w:val="20"/>
                      <w:szCs w:val="20"/>
                    </w:rPr>
                    <w:t>. člen</w:t>
                  </w:r>
                </w:p>
                <w:p w14:paraId="3D61BFF8" w14:textId="4F32F5FD" w:rsidR="00743FAD" w:rsidRPr="00F20334" w:rsidRDefault="00743FAD" w:rsidP="00743FAD">
                  <w:pPr>
                    <w:jc w:val="both"/>
                    <w:rPr>
                      <w:rFonts w:ascii="Arial" w:hAnsi="Arial" w:cs="Arial"/>
                      <w:i/>
                      <w:sz w:val="20"/>
                      <w:szCs w:val="20"/>
                    </w:rPr>
                  </w:pPr>
                  <w:r w:rsidRPr="00F20334">
                    <w:rPr>
                      <w:rFonts w:ascii="Arial" w:hAnsi="Arial" w:cs="Arial"/>
                      <w:sz w:val="20"/>
                      <w:szCs w:val="20"/>
                    </w:rPr>
                    <w:t>V</w:t>
                  </w:r>
                  <w:r w:rsidR="009439CA" w:rsidRPr="00F20334">
                    <w:rPr>
                      <w:rFonts w:ascii="Arial" w:hAnsi="Arial" w:cs="Arial"/>
                      <w:sz w:val="20"/>
                      <w:szCs w:val="20"/>
                    </w:rPr>
                    <w:t xml:space="preserve"> tretjem odstavku 10. člena se za besedo »EU«</w:t>
                  </w:r>
                  <w:r w:rsidR="00ED09D3" w:rsidRPr="00F20334">
                    <w:rPr>
                      <w:rFonts w:ascii="Arial" w:hAnsi="Arial" w:cs="Arial"/>
                      <w:sz w:val="20"/>
                      <w:szCs w:val="20"/>
                    </w:rPr>
                    <w:t xml:space="preserve"> doda znak »/« in </w:t>
                  </w:r>
                  <w:r w:rsidR="00F20334" w:rsidRPr="00F20334">
                    <w:rPr>
                      <w:rFonts w:ascii="Arial" w:hAnsi="Arial" w:cs="Arial"/>
                      <w:sz w:val="20"/>
                      <w:szCs w:val="20"/>
                    </w:rPr>
                    <w:t>oznaka</w:t>
                  </w:r>
                  <w:r w:rsidR="00ED09D3" w:rsidRPr="00F20334">
                    <w:rPr>
                      <w:rFonts w:ascii="Arial" w:hAnsi="Arial" w:cs="Arial"/>
                      <w:sz w:val="20"/>
                      <w:szCs w:val="20"/>
                    </w:rPr>
                    <w:t xml:space="preserve"> »EGP</w:t>
                  </w:r>
                  <w:r w:rsidR="009439CA" w:rsidRPr="00F20334">
                    <w:rPr>
                      <w:rFonts w:ascii="Arial" w:hAnsi="Arial" w:cs="Arial"/>
                      <w:i/>
                      <w:sz w:val="20"/>
                      <w:szCs w:val="20"/>
                    </w:rPr>
                    <w:t>«</w:t>
                  </w:r>
                  <w:r w:rsidR="00ED09D3" w:rsidRPr="00F20334">
                    <w:rPr>
                      <w:rFonts w:ascii="Arial" w:hAnsi="Arial" w:cs="Arial"/>
                      <w:i/>
                      <w:sz w:val="20"/>
                      <w:szCs w:val="20"/>
                    </w:rPr>
                    <w:t>.</w:t>
                  </w:r>
                </w:p>
                <w:p w14:paraId="24595174" w14:textId="77777777" w:rsidR="009439CA" w:rsidRPr="00F20334" w:rsidRDefault="009439CA" w:rsidP="007D5CF5">
                  <w:pPr>
                    <w:jc w:val="both"/>
                    <w:rPr>
                      <w:rFonts w:ascii="Arial" w:hAnsi="Arial" w:cs="Arial"/>
                      <w:i/>
                      <w:sz w:val="20"/>
                      <w:szCs w:val="20"/>
                    </w:rPr>
                  </w:pPr>
                </w:p>
                <w:p w14:paraId="29944566" w14:textId="1DCDFDE4" w:rsidR="00DD0E22" w:rsidRPr="00F20334" w:rsidRDefault="003165B7" w:rsidP="00ED09D3">
                  <w:pPr>
                    <w:jc w:val="center"/>
                    <w:rPr>
                      <w:rFonts w:ascii="Arial" w:hAnsi="Arial" w:cs="Arial"/>
                      <w:sz w:val="20"/>
                      <w:szCs w:val="20"/>
                    </w:rPr>
                  </w:pPr>
                  <w:r w:rsidRPr="00F20334">
                    <w:rPr>
                      <w:rFonts w:ascii="Arial" w:hAnsi="Arial" w:cs="Arial"/>
                      <w:sz w:val="20"/>
                      <w:szCs w:val="20"/>
                    </w:rPr>
                    <w:t>4</w:t>
                  </w:r>
                  <w:r w:rsidR="00ED09D3" w:rsidRPr="00F20334">
                    <w:rPr>
                      <w:rFonts w:ascii="Arial" w:hAnsi="Arial" w:cs="Arial"/>
                      <w:sz w:val="20"/>
                      <w:szCs w:val="20"/>
                    </w:rPr>
                    <w:t>.</w:t>
                  </w:r>
                  <w:r w:rsidR="00DD0E22" w:rsidRPr="00F20334">
                    <w:rPr>
                      <w:rFonts w:ascii="Arial" w:hAnsi="Arial" w:cs="Arial"/>
                      <w:sz w:val="20"/>
                      <w:szCs w:val="20"/>
                    </w:rPr>
                    <w:t xml:space="preserve"> člen</w:t>
                  </w:r>
                </w:p>
                <w:p w14:paraId="7F7F3E4B" w14:textId="57AF823D" w:rsidR="009439CA" w:rsidRPr="00F20334" w:rsidRDefault="00DD0E22" w:rsidP="00CB732E">
                  <w:pPr>
                    <w:jc w:val="both"/>
                    <w:rPr>
                      <w:rFonts w:ascii="Arial" w:hAnsi="Arial" w:cs="Arial"/>
                      <w:sz w:val="20"/>
                      <w:szCs w:val="20"/>
                    </w:rPr>
                  </w:pPr>
                  <w:r w:rsidRPr="00F20334">
                    <w:rPr>
                      <w:rFonts w:ascii="Arial" w:hAnsi="Arial" w:cs="Arial"/>
                      <w:sz w:val="20"/>
                      <w:szCs w:val="20"/>
                    </w:rPr>
                    <w:t xml:space="preserve">V </w:t>
                  </w:r>
                  <w:r w:rsidR="00CB732E" w:rsidRPr="00F20334">
                    <w:rPr>
                      <w:rFonts w:ascii="Arial" w:hAnsi="Arial" w:cs="Arial"/>
                      <w:sz w:val="20"/>
                      <w:szCs w:val="20"/>
                    </w:rPr>
                    <w:t xml:space="preserve">prvem odstavku 15. člena se </w:t>
                  </w:r>
                  <w:r w:rsidR="007E7212" w:rsidRPr="00F20334">
                    <w:rPr>
                      <w:rFonts w:ascii="Arial" w:hAnsi="Arial" w:cs="Arial"/>
                      <w:sz w:val="20"/>
                      <w:szCs w:val="20"/>
                    </w:rPr>
                    <w:t xml:space="preserve">beseda </w:t>
                  </w:r>
                  <w:r w:rsidRPr="00F20334">
                    <w:rPr>
                      <w:rFonts w:ascii="Arial" w:hAnsi="Arial" w:cs="Arial"/>
                      <w:sz w:val="20"/>
                      <w:szCs w:val="20"/>
                    </w:rPr>
                    <w:t>»</w:t>
                  </w:r>
                  <w:r w:rsidR="00CB732E" w:rsidRPr="00F20334">
                    <w:rPr>
                      <w:rFonts w:ascii="Arial" w:hAnsi="Arial" w:cs="Arial"/>
                      <w:sz w:val="20"/>
                      <w:szCs w:val="20"/>
                    </w:rPr>
                    <w:t>petega« nadomesti z besedo »četrtega«.</w:t>
                  </w:r>
                </w:p>
                <w:p w14:paraId="1DFFC115" w14:textId="77777777" w:rsidR="00CB732E" w:rsidRPr="00F20334" w:rsidRDefault="00CB732E" w:rsidP="00CB732E">
                  <w:pPr>
                    <w:jc w:val="both"/>
                    <w:rPr>
                      <w:rFonts w:ascii="Arial" w:hAnsi="Arial" w:cs="Arial"/>
                      <w:i/>
                      <w:sz w:val="20"/>
                      <w:szCs w:val="20"/>
                    </w:rPr>
                  </w:pPr>
                </w:p>
                <w:p w14:paraId="34707C2C" w14:textId="325A962D" w:rsidR="00DD0E22" w:rsidRPr="00F20334" w:rsidRDefault="003165B7" w:rsidP="009439CA">
                  <w:pPr>
                    <w:jc w:val="center"/>
                    <w:rPr>
                      <w:rFonts w:ascii="Arial" w:hAnsi="Arial" w:cs="Arial"/>
                      <w:sz w:val="20"/>
                      <w:szCs w:val="20"/>
                    </w:rPr>
                  </w:pPr>
                  <w:r w:rsidRPr="00F20334">
                    <w:rPr>
                      <w:rFonts w:ascii="Arial" w:hAnsi="Arial" w:cs="Arial"/>
                      <w:sz w:val="20"/>
                      <w:szCs w:val="20"/>
                    </w:rPr>
                    <w:t>5</w:t>
                  </w:r>
                  <w:r w:rsidR="00DD0E22" w:rsidRPr="00F20334">
                    <w:rPr>
                      <w:rFonts w:ascii="Arial" w:hAnsi="Arial" w:cs="Arial"/>
                      <w:sz w:val="20"/>
                      <w:szCs w:val="20"/>
                    </w:rPr>
                    <w:t>. člen</w:t>
                  </w:r>
                </w:p>
                <w:p w14:paraId="11A28862" w14:textId="6EEA6BEB" w:rsidR="009439CA" w:rsidRPr="00F20334" w:rsidRDefault="009439CA" w:rsidP="009439CA">
                  <w:pPr>
                    <w:pStyle w:val="lennaslov1"/>
                    <w:rPr>
                      <w:rFonts w:eastAsia="Calibri"/>
                      <w:b w:val="0"/>
                      <w:bCs w:val="0"/>
                      <w:sz w:val="20"/>
                      <w:szCs w:val="20"/>
                      <w:lang w:eastAsia="en-US"/>
                    </w:rPr>
                  </w:pPr>
                  <w:r w:rsidRPr="00F20334">
                    <w:rPr>
                      <w:rFonts w:eastAsia="Calibri"/>
                      <w:b w:val="0"/>
                      <w:bCs w:val="0"/>
                      <w:sz w:val="20"/>
                      <w:szCs w:val="20"/>
                      <w:lang w:eastAsia="en-US"/>
                    </w:rPr>
                    <w:t>(začetek veljavnosti in uporabe)</w:t>
                  </w:r>
                </w:p>
                <w:p w14:paraId="34464ABC" w14:textId="77777777" w:rsidR="006C0201" w:rsidRDefault="007E7212" w:rsidP="007E7212">
                  <w:pPr>
                    <w:pStyle w:val="odstavek1"/>
                    <w:ind w:firstLine="0"/>
                    <w:rPr>
                      <w:rFonts w:eastAsia="Calibri"/>
                      <w:sz w:val="20"/>
                      <w:szCs w:val="20"/>
                      <w:lang w:eastAsia="en-US"/>
                    </w:rPr>
                  </w:pPr>
                  <w:r w:rsidRPr="00F20334">
                    <w:rPr>
                      <w:rFonts w:eastAsia="Calibri"/>
                      <w:sz w:val="20"/>
                      <w:szCs w:val="20"/>
                      <w:lang w:eastAsia="en-US"/>
                    </w:rPr>
                    <w:t xml:space="preserve">(1) </w:t>
                  </w:r>
                  <w:r w:rsidR="009439CA" w:rsidRPr="00F20334">
                    <w:rPr>
                      <w:rFonts w:eastAsia="Calibri"/>
                      <w:sz w:val="20"/>
                      <w:szCs w:val="20"/>
                      <w:lang w:eastAsia="en-US"/>
                    </w:rPr>
                    <w:t xml:space="preserve">Ta zakon začne veljati petnajsti dan po objavi v Uradnem listu Republike Slovenije. Prvi člen tega zakona se začne uporabljati z dnem, </w:t>
                  </w:r>
                  <w:r w:rsidR="006C0201">
                    <w:rPr>
                      <w:rFonts w:eastAsia="Calibri"/>
                      <w:sz w:val="20"/>
                      <w:szCs w:val="20"/>
                      <w:lang w:eastAsia="en-US"/>
                    </w:rPr>
                    <w:t>ko začne veljati podaljšana shema državne pomoči, ki ga določi</w:t>
                  </w:r>
                  <w:r w:rsidR="006C0201" w:rsidRPr="00F20334">
                    <w:rPr>
                      <w:rFonts w:eastAsia="Calibri"/>
                      <w:sz w:val="20"/>
                      <w:szCs w:val="20"/>
                      <w:lang w:eastAsia="en-US"/>
                    </w:rPr>
                    <w:t xml:space="preserve"> Evropska komisija</w:t>
                  </w:r>
                  <w:r w:rsidR="006C0201">
                    <w:rPr>
                      <w:rFonts w:eastAsia="Calibri"/>
                      <w:sz w:val="20"/>
                      <w:szCs w:val="20"/>
                      <w:lang w:eastAsia="en-US"/>
                    </w:rPr>
                    <w:t xml:space="preserve"> pri odobritvi podaljšanja sheme državne pomoči.</w:t>
                  </w:r>
                </w:p>
                <w:p w14:paraId="245A3C76" w14:textId="5FFDC0F0" w:rsidR="00F20334" w:rsidRDefault="004A5916" w:rsidP="007E7212">
                  <w:pPr>
                    <w:pStyle w:val="odstavek1"/>
                    <w:ind w:firstLine="0"/>
                    <w:rPr>
                      <w:rFonts w:eastAsia="Calibri"/>
                      <w:sz w:val="20"/>
                      <w:szCs w:val="20"/>
                      <w:lang w:eastAsia="en-US"/>
                    </w:rPr>
                  </w:pPr>
                  <w:r w:rsidRPr="00F20334">
                    <w:rPr>
                      <w:rFonts w:eastAsia="Calibri"/>
                      <w:sz w:val="20"/>
                      <w:szCs w:val="20"/>
                      <w:lang w:eastAsia="en-US"/>
                    </w:rPr>
                    <w:t>(2) Pozitivna razlika iz prvega člena tega zakona, ki se vključuje v davčno osnovo v skladu s prvim členom tega zakona, se nanaša le na ladje, ki so bile/bodo prodane po datumu začetka uporabe tega zakona.</w:t>
                  </w:r>
                </w:p>
                <w:p w14:paraId="13C88D49" w14:textId="77045276" w:rsidR="00F20334" w:rsidRPr="00660FA1" w:rsidRDefault="00F20334" w:rsidP="007E7212">
                  <w:pPr>
                    <w:pStyle w:val="odstavek1"/>
                    <w:ind w:firstLine="0"/>
                    <w:rPr>
                      <w:rFonts w:eastAsia="Calibri"/>
                      <w:sz w:val="20"/>
                      <w:szCs w:val="20"/>
                      <w:lang w:eastAsia="en-US"/>
                    </w:rPr>
                  </w:pPr>
                  <w:r w:rsidRPr="00660FA1">
                    <w:rPr>
                      <w:rFonts w:eastAsia="Calibri"/>
                      <w:sz w:val="20"/>
                      <w:szCs w:val="20"/>
                      <w:lang w:eastAsia="en-US"/>
                    </w:rPr>
                    <w:t xml:space="preserve">(3) Minister, pristojen za finance, v Uradnem listu Republike Slovenije objavi informacijo o dnevu odobritve </w:t>
                  </w:r>
                  <w:r w:rsidR="00660FA1" w:rsidRPr="00660FA1">
                    <w:rPr>
                      <w:rFonts w:eastAsia="Calibri"/>
                      <w:sz w:val="20"/>
                      <w:szCs w:val="20"/>
                      <w:lang w:eastAsia="en-US"/>
                    </w:rPr>
                    <w:t>podaljšanj</w:t>
                  </w:r>
                  <w:r w:rsidR="00660FA1">
                    <w:rPr>
                      <w:rFonts w:eastAsia="Calibri"/>
                      <w:sz w:val="20"/>
                      <w:szCs w:val="20"/>
                      <w:lang w:eastAsia="en-US"/>
                    </w:rPr>
                    <w:t xml:space="preserve">a </w:t>
                  </w:r>
                  <w:r w:rsidRPr="00660FA1">
                    <w:rPr>
                      <w:rFonts w:eastAsia="Calibri"/>
                      <w:sz w:val="20"/>
                      <w:szCs w:val="20"/>
                      <w:lang w:eastAsia="en-US"/>
                    </w:rPr>
                    <w:t xml:space="preserve">sheme državne pomoči iz </w:t>
                  </w:r>
                  <w:r w:rsidR="00660FA1" w:rsidRPr="00660FA1">
                    <w:rPr>
                      <w:rFonts w:eastAsia="Calibri"/>
                      <w:sz w:val="20"/>
                      <w:szCs w:val="20"/>
                      <w:lang w:eastAsia="en-US"/>
                    </w:rPr>
                    <w:t>prvega</w:t>
                  </w:r>
                  <w:r w:rsidRPr="00660FA1">
                    <w:rPr>
                      <w:rFonts w:eastAsia="Calibri"/>
                      <w:sz w:val="20"/>
                      <w:szCs w:val="20"/>
                      <w:lang w:eastAsia="en-US"/>
                    </w:rPr>
                    <w:t xml:space="preserve"> odstavka</w:t>
                  </w:r>
                  <w:r w:rsidR="00660FA1" w:rsidRPr="00660FA1">
                    <w:rPr>
                      <w:rFonts w:eastAsia="Calibri"/>
                      <w:sz w:val="20"/>
                      <w:szCs w:val="20"/>
                      <w:lang w:eastAsia="en-US"/>
                    </w:rPr>
                    <w:t xml:space="preserve"> tega člena.</w:t>
                  </w:r>
                </w:p>
                <w:p w14:paraId="7C76849B" w14:textId="34CE3D2E" w:rsidR="00F20334" w:rsidRPr="004A5916" w:rsidRDefault="00F20334" w:rsidP="007E7212">
                  <w:pPr>
                    <w:pStyle w:val="odstavek1"/>
                    <w:ind w:firstLine="0"/>
                    <w:rPr>
                      <w:rFonts w:eastAsia="Calibri"/>
                      <w:sz w:val="20"/>
                      <w:szCs w:val="20"/>
                      <w:lang w:eastAsia="en-US"/>
                    </w:rPr>
                  </w:pPr>
                </w:p>
              </w:tc>
            </w:tr>
            <w:tr w:rsidR="005C7977" w:rsidRPr="00415A84" w14:paraId="54BC1200" w14:textId="77777777" w:rsidTr="000B18D2">
              <w:trPr>
                <w:trHeight w:val="428"/>
              </w:trPr>
              <w:tc>
                <w:tcPr>
                  <w:tcW w:w="9213" w:type="dxa"/>
                </w:tcPr>
                <w:p w14:paraId="721EA5DC" w14:textId="77777777" w:rsidR="00AD1482" w:rsidRDefault="00AD1482" w:rsidP="00766741">
                  <w:pPr>
                    <w:pStyle w:val="Poglavje"/>
                    <w:spacing w:before="0" w:after="0" w:line="260" w:lineRule="exact"/>
                    <w:jc w:val="left"/>
                    <w:rPr>
                      <w:rFonts w:eastAsia="Calibri"/>
                      <w:b w:val="0"/>
                      <w:sz w:val="20"/>
                      <w:szCs w:val="20"/>
                      <w:lang w:eastAsia="en-US"/>
                    </w:rPr>
                  </w:pPr>
                </w:p>
                <w:p w14:paraId="604D35F6" w14:textId="77777777" w:rsidR="00854A13" w:rsidRDefault="00854A13" w:rsidP="00766741">
                  <w:pPr>
                    <w:pStyle w:val="Poglavje"/>
                    <w:spacing w:before="0" w:after="0" w:line="260" w:lineRule="exact"/>
                    <w:jc w:val="left"/>
                    <w:rPr>
                      <w:rFonts w:eastAsia="Calibri"/>
                      <w:b w:val="0"/>
                      <w:sz w:val="20"/>
                      <w:szCs w:val="20"/>
                      <w:lang w:eastAsia="en-US"/>
                    </w:rPr>
                  </w:pPr>
                </w:p>
                <w:p w14:paraId="0D1C09E5" w14:textId="77777777" w:rsidR="00854A13" w:rsidRDefault="00854A13" w:rsidP="00766741">
                  <w:pPr>
                    <w:pStyle w:val="Poglavje"/>
                    <w:spacing w:before="0" w:after="0" w:line="260" w:lineRule="exact"/>
                    <w:jc w:val="left"/>
                    <w:rPr>
                      <w:rFonts w:eastAsia="Calibri"/>
                      <w:b w:val="0"/>
                      <w:sz w:val="20"/>
                      <w:szCs w:val="20"/>
                      <w:lang w:eastAsia="en-US"/>
                    </w:rPr>
                  </w:pPr>
                </w:p>
                <w:p w14:paraId="07B43C69" w14:textId="77777777" w:rsidR="00854A13" w:rsidRDefault="00854A13" w:rsidP="00766741">
                  <w:pPr>
                    <w:pStyle w:val="Poglavje"/>
                    <w:spacing w:before="0" w:after="0" w:line="260" w:lineRule="exact"/>
                    <w:jc w:val="left"/>
                    <w:rPr>
                      <w:rFonts w:eastAsia="Calibri"/>
                      <w:b w:val="0"/>
                      <w:sz w:val="20"/>
                      <w:szCs w:val="20"/>
                      <w:lang w:eastAsia="en-US"/>
                    </w:rPr>
                  </w:pPr>
                </w:p>
                <w:p w14:paraId="287E2DAF" w14:textId="77777777" w:rsidR="00854A13" w:rsidRDefault="00854A13" w:rsidP="00766741">
                  <w:pPr>
                    <w:pStyle w:val="Poglavje"/>
                    <w:spacing w:before="0" w:after="0" w:line="260" w:lineRule="exact"/>
                    <w:jc w:val="left"/>
                    <w:rPr>
                      <w:rFonts w:eastAsia="Calibri"/>
                      <w:b w:val="0"/>
                      <w:sz w:val="20"/>
                      <w:szCs w:val="20"/>
                      <w:lang w:eastAsia="en-US"/>
                    </w:rPr>
                  </w:pPr>
                </w:p>
                <w:p w14:paraId="0BAB6C7E" w14:textId="77777777" w:rsidR="00854A13" w:rsidRDefault="00854A13" w:rsidP="00766741">
                  <w:pPr>
                    <w:pStyle w:val="Poglavje"/>
                    <w:spacing w:before="0" w:after="0" w:line="260" w:lineRule="exact"/>
                    <w:jc w:val="left"/>
                    <w:rPr>
                      <w:rFonts w:eastAsia="Calibri"/>
                      <w:b w:val="0"/>
                      <w:sz w:val="20"/>
                      <w:szCs w:val="20"/>
                      <w:lang w:eastAsia="en-US"/>
                    </w:rPr>
                  </w:pPr>
                </w:p>
                <w:p w14:paraId="0E1EF57A" w14:textId="77777777" w:rsidR="005C7977" w:rsidRPr="00684337" w:rsidRDefault="005C7977" w:rsidP="00766741">
                  <w:pPr>
                    <w:pStyle w:val="Poglavje"/>
                    <w:spacing w:before="0" w:after="0" w:line="260" w:lineRule="exact"/>
                    <w:jc w:val="left"/>
                    <w:rPr>
                      <w:rFonts w:eastAsia="Calibri"/>
                      <w:sz w:val="20"/>
                      <w:szCs w:val="20"/>
                      <w:lang w:eastAsia="en-US"/>
                    </w:rPr>
                  </w:pPr>
                  <w:r w:rsidRPr="00684337">
                    <w:rPr>
                      <w:rFonts w:eastAsia="Calibri"/>
                      <w:sz w:val="20"/>
                      <w:szCs w:val="20"/>
                      <w:lang w:eastAsia="en-US"/>
                    </w:rPr>
                    <w:lastRenderedPageBreak/>
                    <w:t>III. OBRAZLOŽITEV</w:t>
                  </w:r>
                </w:p>
              </w:tc>
            </w:tr>
            <w:tr w:rsidR="005C7977" w:rsidRPr="00415A84" w14:paraId="271BB41B" w14:textId="77777777" w:rsidTr="00854A13">
              <w:trPr>
                <w:trHeight w:val="562"/>
              </w:trPr>
              <w:tc>
                <w:tcPr>
                  <w:tcW w:w="9213" w:type="dxa"/>
                </w:tcPr>
                <w:p w14:paraId="0F454B2D" w14:textId="194F30FB" w:rsidR="00CB732E" w:rsidRDefault="00CB732E" w:rsidP="00766741">
                  <w:pPr>
                    <w:pStyle w:val="Neotevilenodstavek"/>
                    <w:spacing w:before="0" w:after="0" w:line="260" w:lineRule="exact"/>
                    <w:rPr>
                      <w:rFonts w:eastAsia="Calibri" w:cs="Arial"/>
                      <w:sz w:val="20"/>
                      <w:szCs w:val="20"/>
                      <w:lang w:val="sl-SI" w:eastAsia="en-US"/>
                    </w:rPr>
                  </w:pPr>
                </w:p>
                <w:p w14:paraId="7061C6B3" w14:textId="60CDD44D" w:rsidR="00CB732E" w:rsidRPr="00FB752D" w:rsidRDefault="00CB732E" w:rsidP="00766741">
                  <w:pPr>
                    <w:pStyle w:val="Neotevilenodstavek"/>
                    <w:spacing w:before="0" w:after="0" w:line="260" w:lineRule="exact"/>
                    <w:rPr>
                      <w:rFonts w:eastAsia="Calibri" w:cs="Arial"/>
                      <w:sz w:val="20"/>
                      <w:szCs w:val="20"/>
                      <w:u w:val="single"/>
                      <w:lang w:val="sl-SI" w:eastAsia="en-US"/>
                    </w:rPr>
                  </w:pPr>
                  <w:r w:rsidRPr="00FB752D">
                    <w:rPr>
                      <w:rFonts w:eastAsia="Calibri" w:cs="Arial"/>
                      <w:sz w:val="20"/>
                      <w:szCs w:val="20"/>
                      <w:u w:val="single"/>
                      <w:lang w:val="sl-SI" w:eastAsia="en-US"/>
                    </w:rPr>
                    <w:t xml:space="preserve">K 1. </w:t>
                  </w:r>
                  <w:r w:rsidR="00A4714B" w:rsidRPr="00FB752D">
                    <w:rPr>
                      <w:rFonts w:eastAsia="Calibri" w:cs="Arial"/>
                      <w:sz w:val="20"/>
                      <w:szCs w:val="20"/>
                      <w:u w:val="single"/>
                      <w:lang w:val="sl-SI" w:eastAsia="en-US"/>
                    </w:rPr>
                    <w:t>č</w:t>
                  </w:r>
                  <w:r w:rsidRPr="00FB752D">
                    <w:rPr>
                      <w:rFonts w:eastAsia="Calibri" w:cs="Arial"/>
                      <w:sz w:val="20"/>
                      <w:szCs w:val="20"/>
                      <w:u w:val="single"/>
                      <w:lang w:val="sl-SI" w:eastAsia="en-US"/>
                    </w:rPr>
                    <w:t>lenu</w:t>
                  </w:r>
                </w:p>
                <w:p w14:paraId="1DB91B9C" w14:textId="2662C379" w:rsidR="00722627" w:rsidRPr="00AD2A9F" w:rsidRDefault="00722627" w:rsidP="00766741">
                  <w:pPr>
                    <w:pStyle w:val="Neotevilenodstavek"/>
                    <w:spacing w:before="0" w:after="0" w:line="260" w:lineRule="exact"/>
                    <w:rPr>
                      <w:rFonts w:cs="Arial"/>
                      <w:sz w:val="20"/>
                      <w:szCs w:val="20"/>
                      <w:lang w:val="sl-SI"/>
                    </w:rPr>
                  </w:pPr>
                  <w:r>
                    <w:rPr>
                      <w:rFonts w:eastAsia="Calibri" w:cs="Arial"/>
                      <w:sz w:val="20"/>
                      <w:szCs w:val="20"/>
                      <w:lang w:val="sl-SI" w:eastAsia="en-US"/>
                    </w:rPr>
                    <w:t>Člen določa</w:t>
                  </w:r>
                  <w:r w:rsidRPr="00621BFE">
                    <w:rPr>
                      <w:rFonts w:eastAsia="Calibri" w:cs="Arial"/>
                      <w:sz w:val="20"/>
                      <w:szCs w:val="20"/>
                      <w:lang w:val="sl-SI" w:eastAsia="en-US"/>
                    </w:rPr>
                    <w:t>,</w:t>
                  </w:r>
                  <w:r w:rsidRPr="00621BFE">
                    <w:rPr>
                      <w:rFonts w:cs="Arial"/>
                      <w:sz w:val="20"/>
                      <w:szCs w:val="20"/>
                      <w:lang w:val="sl-SI"/>
                    </w:rPr>
                    <w:t xml:space="preserve"> da se dohodki od prodaje ladje, če pogoji </w:t>
                  </w:r>
                  <w:proofErr w:type="spellStart"/>
                  <w:r w:rsidRPr="00621BFE">
                    <w:rPr>
                      <w:rFonts w:cs="Arial"/>
                      <w:sz w:val="20"/>
                      <w:szCs w:val="20"/>
                      <w:lang w:val="sl-SI"/>
                    </w:rPr>
                    <w:t>reinvestiranja</w:t>
                  </w:r>
                  <w:proofErr w:type="spellEnd"/>
                  <w:r w:rsidRPr="00621BFE">
                    <w:rPr>
                      <w:rFonts w:cs="Arial"/>
                      <w:sz w:val="20"/>
                      <w:szCs w:val="20"/>
                      <w:lang w:val="sl-SI"/>
                    </w:rPr>
                    <w:t xml:space="preserve"> po shemi davka na tonažo niso izpolnjeni, vključijo v sistem ugotavljanja davčne osnove davka od dohodkov pravnih oseb, ne več v polnem znesku ampak samo delno. Vključijo se tako, da se vključi </w:t>
                  </w:r>
                  <w:r w:rsidR="00AD2A9F">
                    <w:rPr>
                      <w:rFonts w:cs="Arial"/>
                      <w:sz w:val="20"/>
                      <w:szCs w:val="20"/>
                      <w:lang w:val="sl-SI"/>
                    </w:rPr>
                    <w:t>pozitivna</w:t>
                  </w:r>
                  <w:r w:rsidRPr="00621BFE">
                    <w:rPr>
                      <w:rFonts w:cs="Arial"/>
                      <w:sz w:val="20"/>
                      <w:szCs w:val="20"/>
                    </w:rPr>
                    <w:t xml:space="preserve"> </w:t>
                  </w:r>
                  <w:r w:rsidRPr="00621BFE">
                    <w:rPr>
                      <w:rFonts w:cs="Arial"/>
                      <w:sz w:val="20"/>
                      <w:szCs w:val="20"/>
                      <w:lang w:val="sl-SI"/>
                    </w:rPr>
                    <w:t>razlik</w:t>
                  </w:r>
                  <w:r w:rsidR="00AD2A9F">
                    <w:rPr>
                      <w:rFonts w:cs="Arial"/>
                      <w:sz w:val="20"/>
                      <w:szCs w:val="20"/>
                      <w:lang w:val="sl-SI"/>
                    </w:rPr>
                    <w:t>a</w:t>
                  </w:r>
                  <w:r w:rsidRPr="00621BFE">
                    <w:rPr>
                      <w:rFonts w:cs="Arial"/>
                      <w:sz w:val="20"/>
                      <w:szCs w:val="20"/>
                      <w:lang w:val="sl-SI"/>
                    </w:rPr>
                    <w:t xml:space="preserve"> med prodajno vrednostjo ladje in nabavno vrednostjo ladje, zmanjšano za do dneva prodaje obračunano amortizacijo, katere najnižja letna amortizacijska stopnja za namene tega izračuna znaša </w:t>
                  </w:r>
                  <w:r w:rsidRPr="00350A2E">
                    <w:rPr>
                      <w:rFonts w:cs="Arial"/>
                      <w:sz w:val="20"/>
                      <w:szCs w:val="20"/>
                      <w:lang w:val="sl-SI"/>
                    </w:rPr>
                    <w:t xml:space="preserve">najmanj </w:t>
                  </w:r>
                  <w:r w:rsidRPr="00350A2E">
                    <w:rPr>
                      <w:rFonts w:cs="Arial"/>
                      <w:sz w:val="20"/>
                      <w:szCs w:val="20"/>
                    </w:rPr>
                    <w:t>4</w:t>
                  </w:r>
                  <w:r w:rsidR="00350A2E" w:rsidRPr="00350A2E">
                    <w:rPr>
                      <w:rFonts w:cs="Arial"/>
                      <w:sz w:val="20"/>
                      <w:szCs w:val="20"/>
                      <w:lang w:val="sl-SI"/>
                    </w:rPr>
                    <w:t xml:space="preserve"> </w:t>
                  </w:r>
                  <w:r w:rsidRPr="00350A2E">
                    <w:rPr>
                      <w:rFonts w:cs="Arial"/>
                      <w:sz w:val="20"/>
                      <w:szCs w:val="20"/>
                      <w:lang w:val="sl-SI"/>
                    </w:rPr>
                    <w:t>%</w:t>
                  </w:r>
                  <w:r w:rsidRPr="00621BFE">
                    <w:rPr>
                      <w:rFonts w:cs="Arial"/>
                      <w:sz w:val="20"/>
                      <w:szCs w:val="20"/>
                      <w:lang w:val="sl-SI"/>
                    </w:rPr>
                    <w:t xml:space="preserve"> nabavne vrednosti.</w:t>
                  </w:r>
                  <w:r>
                    <w:rPr>
                      <w:rFonts w:cs="Arial"/>
                      <w:sz w:val="20"/>
                      <w:szCs w:val="20"/>
                      <w:lang w:val="sl-SI"/>
                    </w:rPr>
                    <w:t xml:space="preserve"> </w:t>
                  </w:r>
                  <w:r w:rsidR="00AD2A9F" w:rsidRPr="00715ED4">
                    <w:rPr>
                      <w:rFonts w:cs="Arial"/>
                      <w:sz w:val="20"/>
                      <w:szCs w:val="20"/>
                    </w:rPr>
                    <w:t xml:space="preserve">Omenjena rešitev se uporablja za dohodke od prodaje ladij, ki </w:t>
                  </w:r>
                  <w:r w:rsidR="00A934CD">
                    <w:rPr>
                      <w:rFonts w:cs="Arial"/>
                      <w:sz w:val="20"/>
                      <w:szCs w:val="20"/>
                      <w:lang w:val="sl-SI"/>
                    </w:rPr>
                    <w:t xml:space="preserve"> </w:t>
                  </w:r>
                  <w:r w:rsidR="003165B7">
                    <w:rPr>
                      <w:rFonts w:cs="Arial"/>
                      <w:sz w:val="20"/>
                      <w:szCs w:val="20"/>
                      <w:lang w:val="sl-SI"/>
                    </w:rPr>
                    <w:t xml:space="preserve">so </w:t>
                  </w:r>
                  <w:r w:rsidR="00A934CD">
                    <w:rPr>
                      <w:rFonts w:cs="Arial"/>
                      <w:sz w:val="20"/>
                      <w:szCs w:val="20"/>
                      <w:lang w:val="sl-SI"/>
                    </w:rPr>
                    <w:t xml:space="preserve">bile oziroma bodo prodane po dnevu </w:t>
                  </w:r>
                  <w:r w:rsidR="00A934CD" w:rsidRPr="00715ED4">
                    <w:rPr>
                      <w:rFonts w:cs="Arial"/>
                      <w:sz w:val="20"/>
                      <w:szCs w:val="20"/>
                    </w:rPr>
                    <w:t>podaljšanj</w:t>
                  </w:r>
                  <w:r w:rsidR="00A934CD">
                    <w:rPr>
                      <w:rFonts w:cs="Arial"/>
                      <w:sz w:val="20"/>
                      <w:szCs w:val="20"/>
                      <w:lang w:val="sl-SI"/>
                    </w:rPr>
                    <w:t>a</w:t>
                  </w:r>
                  <w:r w:rsidR="00A934CD" w:rsidRPr="00715ED4">
                    <w:rPr>
                      <w:rFonts w:cs="Arial"/>
                      <w:sz w:val="20"/>
                      <w:szCs w:val="20"/>
                    </w:rPr>
                    <w:t xml:space="preserve"> sheme</w:t>
                  </w:r>
                  <w:r w:rsidR="00A934CD">
                    <w:rPr>
                      <w:rFonts w:cs="Arial"/>
                      <w:sz w:val="20"/>
                      <w:szCs w:val="20"/>
                      <w:lang w:val="sl-SI"/>
                    </w:rPr>
                    <w:t xml:space="preserve">. To pomeni, da se ne uporablja za ladje (dohodke od prodaje ladij), ki so bile prodane pred </w:t>
                  </w:r>
                  <w:r w:rsidR="00E95B09">
                    <w:rPr>
                      <w:rFonts w:cs="Arial"/>
                      <w:sz w:val="20"/>
                      <w:szCs w:val="20"/>
                      <w:lang w:val="sl-SI"/>
                    </w:rPr>
                    <w:t xml:space="preserve">tem </w:t>
                  </w:r>
                  <w:r w:rsidR="00AD2A9F" w:rsidRPr="00715ED4">
                    <w:rPr>
                      <w:rFonts w:cs="Arial"/>
                      <w:sz w:val="20"/>
                      <w:szCs w:val="20"/>
                    </w:rPr>
                    <w:t>dne</w:t>
                  </w:r>
                  <w:r w:rsidR="00E95B09">
                    <w:rPr>
                      <w:rFonts w:cs="Arial"/>
                      <w:sz w:val="20"/>
                      <w:szCs w:val="20"/>
                      <w:lang w:val="sl-SI"/>
                    </w:rPr>
                    <w:t>vom.</w:t>
                  </w:r>
                  <w:r w:rsidR="00A934CD">
                    <w:rPr>
                      <w:rFonts w:cs="Arial"/>
                      <w:sz w:val="20"/>
                      <w:szCs w:val="20"/>
                      <w:lang w:val="sl-SI"/>
                    </w:rPr>
                    <w:t xml:space="preserve"> D</w:t>
                  </w:r>
                  <w:r w:rsidR="00AD2A9F">
                    <w:rPr>
                      <w:rFonts w:cs="Arial"/>
                      <w:sz w:val="20"/>
                      <w:szCs w:val="20"/>
                      <w:lang w:val="sl-SI"/>
                    </w:rPr>
                    <w:t>oh</w:t>
                  </w:r>
                  <w:r w:rsidR="00E95B09">
                    <w:rPr>
                      <w:rFonts w:cs="Arial"/>
                      <w:sz w:val="20"/>
                      <w:szCs w:val="20"/>
                      <w:lang w:val="sl-SI"/>
                    </w:rPr>
                    <w:t>o</w:t>
                  </w:r>
                  <w:r w:rsidR="00AD2A9F">
                    <w:rPr>
                      <w:rFonts w:cs="Arial"/>
                      <w:sz w:val="20"/>
                      <w:szCs w:val="20"/>
                      <w:lang w:val="sl-SI"/>
                    </w:rPr>
                    <w:t xml:space="preserve">dki </w:t>
                  </w:r>
                  <w:r w:rsidR="00A934CD">
                    <w:rPr>
                      <w:rFonts w:cs="Arial"/>
                      <w:sz w:val="20"/>
                      <w:szCs w:val="20"/>
                      <w:lang w:val="sl-SI"/>
                    </w:rPr>
                    <w:t xml:space="preserve">od prodaje slednjih ladij se </w:t>
                  </w:r>
                  <w:r w:rsidR="00AD2A9F">
                    <w:rPr>
                      <w:rFonts w:cs="Arial"/>
                      <w:sz w:val="20"/>
                      <w:szCs w:val="20"/>
                      <w:lang w:val="sl-SI"/>
                    </w:rPr>
                    <w:t xml:space="preserve">v izračun davčne osnove </w:t>
                  </w:r>
                  <w:r w:rsidR="00AD2A9F" w:rsidRPr="00621BFE">
                    <w:rPr>
                      <w:rFonts w:cs="Arial"/>
                      <w:sz w:val="20"/>
                      <w:szCs w:val="20"/>
                      <w:lang w:val="sl-SI"/>
                    </w:rPr>
                    <w:t>davka od dohodkov pravnih oseb</w:t>
                  </w:r>
                  <w:r w:rsidR="00AD2A9F">
                    <w:rPr>
                      <w:rFonts w:cs="Arial"/>
                      <w:sz w:val="20"/>
                      <w:szCs w:val="20"/>
                      <w:lang w:val="sl-SI"/>
                    </w:rPr>
                    <w:t xml:space="preserve"> vključijo v celoti.</w:t>
                  </w:r>
                </w:p>
                <w:p w14:paraId="79F7519B" w14:textId="77777777" w:rsidR="00722627" w:rsidRDefault="00722627" w:rsidP="00766741">
                  <w:pPr>
                    <w:pStyle w:val="Neotevilenodstavek"/>
                    <w:spacing w:before="0" w:after="0" w:line="260" w:lineRule="exact"/>
                    <w:rPr>
                      <w:rFonts w:cs="Arial"/>
                      <w:sz w:val="20"/>
                      <w:szCs w:val="20"/>
                      <w:lang w:val="sl-SI"/>
                    </w:rPr>
                  </w:pPr>
                </w:p>
                <w:p w14:paraId="661FEB5B" w14:textId="6164FAD3" w:rsidR="00CB732E" w:rsidRPr="00FB752D" w:rsidRDefault="00CB732E" w:rsidP="00766741">
                  <w:pPr>
                    <w:pStyle w:val="Neotevilenodstavek"/>
                    <w:spacing w:before="0" w:after="0" w:line="260" w:lineRule="exact"/>
                    <w:rPr>
                      <w:rFonts w:eastAsia="Calibri" w:cs="Arial"/>
                      <w:sz w:val="20"/>
                      <w:szCs w:val="20"/>
                      <w:u w:val="single"/>
                      <w:lang w:val="sl-SI" w:eastAsia="en-US"/>
                    </w:rPr>
                  </w:pPr>
                  <w:r w:rsidRPr="00FB752D">
                    <w:rPr>
                      <w:rFonts w:eastAsia="Calibri" w:cs="Arial"/>
                      <w:sz w:val="20"/>
                      <w:szCs w:val="20"/>
                      <w:u w:val="single"/>
                      <w:lang w:val="sl-SI" w:eastAsia="en-US"/>
                    </w:rPr>
                    <w:t xml:space="preserve">K </w:t>
                  </w:r>
                  <w:proofErr w:type="spellStart"/>
                  <w:r w:rsidRPr="00FB752D">
                    <w:rPr>
                      <w:rFonts w:eastAsia="Calibri" w:cs="Arial"/>
                      <w:sz w:val="20"/>
                      <w:szCs w:val="20"/>
                      <w:u w:val="single"/>
                      <w:lang w:val="sl-SI" w:eastAsia="en-US"/>
                    </w:rPr>
                    <w:t>2.členu</w:t>
                  </w:r>
                  <w:proofErr w:type="spellEnd"/>
                </w:p>
                <w:p w14:paraId="2002A929" w14:textId="27E506A4" w:rsidR="00722627" w:rsidRPr="00621BFE" w:rsidRDefault="00A934CD" w:rsidP="000C465B">
                  <w:pPr>
                    <w:autoSpaceDE w:val="0"/>
                    <w:autoSpaceDN w:val="0"/>
                    <w:adjustRightInd w:val="0"/>
                    <w:spacing w:after="0" w:line="240" w:lineRule="auto"/>
                    <w:jc w:val="both"/>
                    <w:rPr>
                      <w:rFonts w:eastAsia="Times New Roman" w:cs="Arial"/>
                      <w:sz w:val="20"/>
                      <w:szCs w:val="20"/>
                      <w:lang w:eastAsia="x-none"/>
                    </w:rPr>
                  </w:pPr>
                  <w:r>
                    <w:rPr>
                      <w:rFonts w:ascii="Arial" w:eastAsia="Times New Roman" w:hAnsi="Arial" w:cs="Arial"/>
                      <w:sz w:val="20"/>
                      <w:szCs w:val="20"/>
                      <w:lang w:eastAsia="x-none"/>
                    </w:rPr>
                    <w:t xml:space="preserve">Ta člen določa dopolnitev </w:t>
                  </w:r>
                  <w:r w:rsidR="008E716D">
                    <w:rPr>
                      <w:rFonts w:ascii="Arial" w:eastAsia="Times New Roman" w:hAnsi="Arial" w:cs="Arial"/>
                      <w:sz w:val="20"/>
                      <w:szCs w:val="20"/>
                      <w:lang w:eastAsia="x-none"/>
                    </w:rPr>
                    <w:t xml:space="preserve">tretjega odstavka </w:t>
                  </w:r>
                  <w:r>
                    <w:rPr>
                      <w:rFonts w:ascii="Arial" w:eastAsia="Times New Roman" w:hAnsi="Arial" w:cs="Arial"/>
                      <w:sz w:val="20"/>
                      <w:szCs w:val="20"/>
                      <w:lang w:eastAsia="x-none"/>
                    </w:rPr>
                    <w:t xml:space="preserve">9. </w:t>
                  </w:r>
                  <w:r w:rsidR="008E716D">
                    <w:rPr>
                      <w:rFonts w:ascii="Arial" w:eastAsia="Times New Roman" w:hAnsi="Arial" w:cs="Arial"/>
                      <w:sz w:val="20"/>
                      <w:szCs w:val="20"/>
                      <w:lang w:eastAsia="x-none"/>
                    </w:rPr>
                    <w:t>č</w:t>
                  </w:r>
                  <w:r>
                    <w:rPr>
                      <w:rFonts w:ascii="Arial" w:eastAsia="Times New Roman" w:hAnsi="Arial" w:cs="Arial"/>
                      <w:sz w:val="20"/>
                      <w:szCs w:val="20"/>
                      <w:lang w:eastAsia="x-none"/>
                    </w:rPr>
                    <w:t>lena</w:t>
                  </w:r>
                  <w:r w:rsidR="003165B7">
                    <w:rPr>
                      <w:rFonts w:ascii="Arial" w:eastAsia="Times New Roman" w:hAnsi="Arial" w:cs="Arial"/>
                      <w:sz w:val="20"/>
                      <w:szCs w:val="20"/>
                      <w:lang w:eastAsia="x-none"/>
                    </w:rPr>
                    <w:t xml:space="preserve"> Zakona o davku na tonažo glede pogojev ladje</w:t>
                  </w:r>
                  <w:r>
                    <w:rPr>
                      <w:rFonts w:ascii="Arial" w:eastAsia="Times New Roman" w:hAnsi="Arial" w:cs="Arial"/>
                      <w:sz w:val="20"/>
                      <w:szCs w:val="20"/>
                      <w:lang w:eastAsia="x-none"/>
                    </w:rPr>
                    <w:t>. Doda se</w:t>
                  </w:r>
                  <w:r w:rsidR="00621BFE">
                    <w:rPr>
                      <w:rFonts w:ascii="Arial" w:eastAsia="Times New Roman" w:hAnsi="Arial" w:cs="Arial"/>
                      <w:sz w:val="20"/>
                      <w:szCs w:val="20"/>
                      <w:lang w:eastAsia="x-none"/>
                    </w:rPr>
                    <w:t xml:space="preserve">, da se poleg držav članic EU </w:t>
                  </w:r>
                  <w:r w:rsidR="003165B7">
                    <w:rPr>
                      <w:rFonts w:ascii="Arial" w:eastAsia="Times New Roman" w:hAnsi="Arial" w:cs="Arial"/>
                      <w:sz w:val="20"/>
                      <w:szCs w:val="20"/>
                      <w:lang w:eastAsia="x-none"/>
                    </w:rPr>
                    <w:t xml:space="preserve">za države članice </w:t>
                  </w:r>
                  <w:r w:rsidR="00621BFE">
                    <w:rPr>
                      <w:rFonts w:ascii="Arial" w:eastAsia="Times New Roman" w:hAnsi="Arial" w:cs="Arial"/>
                      <w:sz w:val="20"/>
                      <w:szCs w:val="20"/>
                      <w:lang w:eastAsia="x-none"/>
                    </w:rPr>
                    <w:t xml:space="preserve">štejejo tudi države </w:t>
                  </w:r>
                  <w:r w:rsidR="00621BFE" w:rsidRPr="00621BFE">
                    <w:rPr>
                      <w:rFonts w:ascii="Arial" w:eastAsia="Times New Roman" w:hAnsi="Arial" w:cs="Arial"/>
                      <w:sz w:val="20"/>
                      <w:szCs w:val="20"/>
                      <w:lang w:eastAsia="x-none"/>
                    </w:rPr>
                    <w:t>članice Evropskega gospodarskega prostora (EGP), ki hkrati niso države članice EU</w:t>
                  </w:r>
                  <w:r>
                    <w:rPr>
                      <w:rFonts w:ascii="Arial" w:eastAsia="Times New Roman" w:hAnsi="Arial" w:cs="Arial"/>
                      <w:sz w:val="20"/>
                      <w:szCs w:val="20"/>
                      <w:lang w:eastAsia="x-none"/>
                    </w:rPr>
                    <w:t>.</w:t>
                  </w:r>
                  <w:r w:rsidR="00621BFE" w:rsidRPr="00621BFE">
                    <w:rPr>
                      <w:rFonts w:ascii="Arial" w:eastAsia="Times New Roman" w:hAnsi="Arial" w:cs="Arial"/>
                      <w:sz w:val="20"/>
                      <w:szCs w:val="20"/>
                      <w:lang w:eastAsia="x-none"/>
                    </w:rPr>
                    <w:t xml:space="preserve"> </w:t>
                  </w:r>
                </w:p>
                <w:p w14:paraId="5439F2CB" w14:textId="77777777" w:rsidR="00AD2A9F" w:rsidRDefault="00AD2A9F" w:rsidP="00766741">
                  <w:pPr>
                    <w:pStyle w:val="Neotevilenodstavek"/>
                    <w:spacing w:before="0" w:after="0" w:line="260" w:lineRule="exact"/>
                    <w:rPr>
                      <w:rFonts w:eastAsia="Calibri" w:cs="Arial"/>
                      <w:sz w:val="20"/>
                      <w:szCs w:val="20"/>
                      <w:lang w:val="sl-SI" w:eastAsia="en-US"/>
                    </w:rPr>
                  </w:pPr>
                </w:p>
                <w:p w14:paraId="390C2865" w14:textId="584000C2" w:rsidR="00CB732E" w:rsidRPr="00FB752D" w:rsidRDefault="00CB732E" w:rsidP="00766741">
                  <w:pPr>
                    <w:pStyle w:val="Neotevilenodstavek"/>
                    <w:spacing w:before="0" w:after="0" w:line="260" w:lineRule="exact"/>
                    <w:rPr>
                      <w:rFonts w:eastAsia="Calibri" w:cs="Arial"/>
                      <w:sz w:val="20"/>
                      <w:szCs w:val="20"/>
                      <w:u w:val="single"/>
                      <w:lang w:val="sl-SI" w:eastAsia="en-US"/>
                    </w:rPr>
                  </w:pPr>
                  <w:r w:rsidRPr="00FB752D">
                    <w:rPr>
                      <w:rFonts w:eastAsia="Calibri" w:cs="Arial"/>
                      <w:sz w:val="20"/>
                      <w:szCs w:val="20"/>
                      <w:u w:val="single"/>
                      <w:lang w:val="sl-SI" w:eastAsia="en-US"/>
                    </w:rPr>
                    <w:t>K 3</w:t>
                  </w:r>
                  <w:r w:rsidR="003165B7" w:rsidRPr="00FB752D">
                    <w:rPr>
                      <w:rFonts w:eastAsia="Calibri" w:cs="Arial"/>
                      <w:sz w:val="20"/>
                      <w:szCs w:val="20"/>
                      <w:u w:val="single"/>
                      <w:lang w:val="sl-SI" w:eastAsia="en-US"/>
                    </w:rPr>
                    <w:t>.</w:t>
                  </w:r>
                  <w:r w:rsidRPr="00FB752D">
                    <w:rPr>
                      <w:rFonts w:eastAsia="Calibri" w:cs="Arial"/>
                      <w:sz w:val="20"/>
                      <w:szCs w:val="20"/>
                      <w:u w:val="single"/>
                      <w:lang w:val="sl-SI" w:eastAsia="en-US"/>
                    </w:rPr>
                    <w:t xml:space="preserve"> členu </w:t>
                  </w:r>
                </w:p>
                <w:p w14:paraId="4F1220C2" w14:textId="65C84C6D" w:rsidR="000C465B" w:rsidRPr="00621BFE" w:rsidRDefault="00A934CD" w:rsidP="000C465B">
                  <w:pPr>
                    <w:autoSpaceDE w:val="0"/>
                    <w:autoSpaceDN w:val="0"/>
                    <w:adjustRightInd w:val="0"/>
                    <w:spacing w:after="0" w:line="240" w:lineRule="auto"/>
                    <w:jc w:val="both"/>
                    <w:rPr>
                      <w:rFonts w:eastAsia="Times New Roman" w:cs="Arial"/>
                      <w:sz w:val="20"/>
                      <w:szCs w:val="20"/>
                      <w:lang w:eastAsia="x-none"/>
                    </w:rPr>
                  </w:pPr>
                  <w:r>
                    <w:rPr>
                      <w:rFonts w:ascii="Arial" w:eastAsia="Times New Roman" w:hAnsi="Arial" w:cs="Arial"/>
                      <w:sz w:val="20"/>
                      <w:szCs w:val="20"/>
                      <w:lang w:eastAsia="x-none"/>
                    </w:rPr>
                    <w:t>Ta člen določa dopolnitev</w:t>
                  </w:r>
                  <w:r w:rsidR="008E716D">
                    <w:rPr>
                      <w:rFonts w:ascii="Arial" w:eastAsia="Times New Roman" w:hAnsi="Arial" w:cs="Arial"/>
                      <w:sz w:val="20"/>
                      <w:szCs w:val="20"/>
                      <w:lang w:eastAsia="x-none"/>
                    </w:rPr>
                    <w:t xml:space="preserve"> tretjega odstavka</w:t>
                  </w:r>
                  <w:r>
                    <w:rPr>
                      <w:rFonts w:ascii="Arial" w:eastAsia="Times New Roman" w:hAnsi="Arial" w:cs="Arial"/>
                      <w:sz w:val="20"/>
                      <w:szCs w:val="20"/>
                      <w:lang w:eastAsia="x-none"/>
                    </w:rPr>
                    <w:t xml:space="preserve"> 10. člena </w:t>
                  </w:r>
                  <w:r w:rsidR="003165B7">
                    <w:rPr>
                      <w:rFonts w:ascii="Arial" w:eastAsia="Times New Roman" w:hAnsi="Arial" w:cs="Arial"/>
                      <w:sz w:val="20"/>
                      <w:szCs w:val="20"/>
                      <w:lang w:eastAsia="x-none"/>
                    </w:rPr>
                    <w:t>Zakona o davku na tonažo</w:t>
                  </w:r>
                  <w:r w:rsidR="003165B7">
                    <w:rPr>
                      <w:lang w:val="x-none"/>
                    </w:rPr>
                    <w:t xml:space="preserve"> </w:t>
                  </w:r>
                  <w:r w:rsidR="003165B7">
                    <w:t xml:space="preserve">v zvezi z </w:t>
                  </w:r>
                  <w:r w:rsidR="003165B7">
                    <w:rPr>
                      <w:lang w:val="x-none"/>
                    </w:rPr>
                    <w:t>zahtev</w:t>
                  </w:r>
                  <w:r w:rsidR="003165B7">
                    <w:t>o</w:t>
                  </w:r>
                  <w:r w:rsidR="003165B7">
                    <w:rPr>
                      <w:lang w:val="x-none"/>
                    </w:rPr>
                    <w:t xml:space="preserve"> glede zastave ladje</w:t>
                  </w:r>
                  <w:r w:rsidR="003165B7">
                    <w:rPr>
                      <w:rFonts w:ascii="Arial" w:eastAsia="Times New Roman" w:hAnsi="Arial" w:cs="Arial"/>
                      <w:sz w:val="20"/>
                      <w:szCs w:val="20"/>
                      <w:lang w:eastAsia="x-none"/>
                    </w:rPr>
                    <w:t xml:space="preserve">. </w:t>
                  </w:r>
                  <w:r w:rsidR="000C465B">
                    <w:rPr>
                      <w:rFonts w:ascii="Arial" w:eastAsia="Times New Roman" w:hAnsi="Arial" w:cs="Arial"/>
                      <w:sz w:val="20"/>
                      <w:szCs w:val="20"/>
                      <w:lang w:eastAsia="x-none"/>
                    </w:rPr>
                    <w:t xml:space="preserve">V člen se dodaja, da </w:t>
                  </w:r>
                  <w:r w:rsidR="008E716D">
                    <w:rPr>
                      <w:rFonts w:ascii="Arial" w:eastAsia="Times New Roman" w:hAnsi="Arial" w:cs="Arial"/>
                      <w:sz w:val="20"/>
                      <w:szCs w:val="20"/>
                      <w:lang w:eastAsia="x-none"/>
                    </w:rPr>
                    <w:t>z</w:t>
                  </w:r>
                  <w:r w:rsidR="000647AD">
                    <w:rPr>
                      <w:rFonts w:ascii="Arial" w:eastAsia="Times New Roman" w:hAnsi="Arial" w:cs="Arial"/>
                      <w:sz w:val="20"/>
                      <w:szCs w:val="20"/>
                      <w:lang w:eastAsia="x-none"/>
                    </w:rPr>
                    <w:t>ah</w:t>
                  </w:r>
                  <w:r w:rsidR="008E716D">
                    <w:rPr>
                      <w:rFonts w:ascii="Arial" w:eastAsia="Times New Roman" w:hAnsi="Arial" w:cs="Arial"/>
                      <w:sz w:val="20"/>
                      <w:szCs w:val="20"/>
                      <w:lang w:eastAsia="x-none"/>
                    </w:rPr>
                    <w:t xml:space="preserve">teve glede zastave </w:t>
                  </w:r>
                  <w:r w:rsidR="000C465B">
                    <w:rPr>
                      <w:rFonts w:ascii="Arial" w:eastAsia="Times New Roman" w:hAnsi="Arial" w:cs="Arial"/>
                      <w:sz w:val="20"/>
                      <w:szCs w:val="20"/>
                      <w:lang w:eastAsia="x-none"/>
                    </w:rPr>
                    <w:t xml:space="preserve">poleg držav članic EU </w:t>
                  </w:r>
                  <w:r w:rsidR="008E716D">
                    <w:rPr>
                      <w:rFonts w:ascii="Arial" w:eastAsia="Times New Roman" w:hAnsi="Arial" w:cs="Arial"/>
                      <w:sz w:val="20"/>
                      <w:szCs w:val="20"/>
                      <w:lang w:eastAsia="x-none"/>
                    </w:rPr>
                    <w:t>veljajo tudi za</w:t>
                  </w:r>
                  <w:r w:rsidR="000C465B">
                    <w:rPr>
                      <w:rFonts w:ascii="Arial" w:eastAsia="Times New Roman" w:hAnsi="Arial" w:cs="Arial"/>
                      <w:sz w:val="20"/>
                      <w:szCs w:val="20"/>
                      <w:lang w:eastAsia="x-none"/>
                    </w:rPr>
                    <w:t xml:space="preserve"> države </w:t>
                  </w:r>
                  <w:r w:rsidR="000C465B" w:rsidRPr="00621BFE">
                    <w:rPr>
                      <w:rFonts w:ascii="Arial" w:eastAsia="Times New Roman" w:hAnsi="Arial" w:cs="Arial"/>
                      <w:sz w:val="20"/>
                      <w:szCs w:val="20"/>
                      <w:lang w:eastAsia="x-none"/>
                    </w:rPr>
                    <w:t>članice Evropskega gospodarskega prostora (EGP</w:t>
                  </w:r>
                  <w:r>
                    <w:rPr>
                      <w:rFonts w:ascii="Arial" w:eastAsia="Times New Roman" w:hAnsi="Arial" w:cs="Arial"/>
                      <w:sz w:val="20"/>
                      <w:szCs w:val="20"/>
                      <w:lang w:eastAsia="x-none"/>
                    </w:rPr>
                    <w:t>).</w:t>
                  </w:r>
                  <w:r w:rsidR="000C465B" w:rsidRPr="00621BFE">
                    <w:rPr>
                      <w:rFonts w:ascii="Arial" w:eastAsia="Times New Roman" w:hAnsi="Arial" w:cs="Arial"/>
                      <w:sz w:val="20"/>
                      <w:szCs w:val="20"/>
                      <w:lang w:eastAsia="x-none"/>
                    </w:rPr>
                    <w:t xml:space="preserve"> </w:t>
                  </w:r>
                </w:p>
                <w:p w14:paraId="17C08099" w14:textId="77777777" w:rsidR="000C465B" w:rsidRDefault="000C465B" w:rsidP="00766741">
                  <w:pPr>
                    <w:pStyle w:val="Neotevilenodstavek"/>
                    <w:spacing w:before="0" w:after="0" w:line="260" w:lineRule="exact"/>
                    <w:rPr>
                      <w:rFonts w:eastAsia="Calibri" w:cs="Arial"/>
                      <w:sz w:val="20"/>
                      <w:szCs w:val="20"/>
                      <w:lang w:val="sl-SI" w:eastAsia="en-US"/>
                    </w:rPr>
                  </w:pPr>
                </w:p>
                <w:p w14:paraId="073C09B3" w14:textId="7A0EE45B" w:rsidR="003165B7" w:rsidRPr="00FB752D" w:rsidRDefault="003165B7" w:rsidP="00766741">
                  <w:pPr>
                    <w:pStyle w:val="Neotevilenodstavek"/>
                    <w:spacing w:before="0" w:after="0" w:line="260" w:lineRule="exact"/>
                    <w:rPr>
                      <w:rFonts w:eastAsia="Calibri" w:cs="Arial"/>
                      <w:sz w:val="20"/>
                      <w:szCs w:val="20"/>
                      <w:u w:val="single"/>
                      <w:lang w:val="sl-SI" w:eastAsia="en-US"/>
                    </w:rPr>
                  </w:pPr>
                  <w:r w:rsidRPr="00FB752D">
                    <w:rPr>
                      <w:rFonts w:eastAsia="Calibri" w:cs="Arial"/>
                      <w:sz w:val="20"/>
                      <w:szCs w:val="20"/>
                      <w:u w:val="single"/>
                      <w:lang w:val="sl-SI" w:eastAsia="en-US"/>
                    </w:rPr>
                    <w:t>K 4. členu</w:t>
                  </w:r>
                </w:p>
                <w:p w14:paraId="285B602F" w14:textId="1BF28815" w:rsidR="003165B7" w:rsidRPr="003165B7" w:rsidRDefault="003165B7" w:rsidP="00766741">
                  <w:pPr>
                    <w:pStyle w:val="Neotevilenodstavek"/>
                    <w:spacing w:before="0" w:after="0" w:line="260" w:lineRule="exact"/>
                    <w:rPr>
                      <w:rFonts w:eastAsia="Calibri" w:cs="Arial"/>
                      <w:sz w:val="20"/>
                      <w:szCs w:val="20"/>
                      <w:lang w:val="sl-SI" w:eastAsia="en-US"/>
                    </w:rPr>
                  </w:pPr>
                  <w:r>
                    <w:rPr>
                      <w:rFonts w:eastAsia="Calibri" w:cs="Arial"/>
                      <w:sz w:val="20"/>
                      <w:szCs w:val="20"/>
                      <w:lang w:val="sl-SI" w:eastAsia="en-US"/>
                    </w:rPr>
                    <w:t xml:space="preserve">Člen določa uskladitev sklicevanja </w:t>
                  </w:r>
                  <w:r w:rsidR="008E716D">
                    <w:rPr>
                      <w:rFonts w:eastAsia="Calibri" w:cs="Arial"/>
                      <w:sz w:val="20"/>
                      <w:szCs w:val="20"/>
                      <w:lang w:val="sl-SI" w:eastAsia="en-US"/>
                    </w:rPr>
                    <w:t xml:space="preserve">prvega odstavka </w:t>
                  </w:r>
                  <w:r>
                    <w:rPr>
                      <w:rFonts w:eastAsia="Calibri" w:cs="Arial"/>
                      <w:sz w:val="20"/>
                      <w:szCs w:val="20"/>
                      <w:lang w:val="sl-SI" w:eastAsia="en-US"/>
                    </w:rPr>
                    <w:t xml:space="preserve">15. člena </w:t>
                  </w:r>
                  <w:r>
                    <w:rPr>
                      <w:rFonts w:cs="Arial"/>
                      <w:sz w:val="20"/>
                      <w:szCs w:val="20"/>
                    </w:rPr>
                    <w:t>Zakona o davku na tonažo</w:t>
                  </w:r>
                  <w:r w:rsidR="008E716D">
                    <w:rPr>
                      <w:rFonts w:cs="Arial"/>
                      <w:sz w:val="20"/>
                      <w:szCs w:val="20"/>
                      <w:lang w:val="sl-SI"/>
                    </w:rPr>
                    <w:t xml:space="preserve"> v zvezi z moratorijem zavezanca</w:t>
                  </w:r>
                  <w:r>
                    <w:rPr>
                      <w:rFonts w:cs="Arial"/>
                      <w:sz w:val="20"/>
                      <w:szCs w:val="20"/>
                      <w:lang w:val="sl-SI"/>
                    </w:rPr>
                    <w:t xml:space="preserve">. Gre za </w:t>
                  </w:r>
                  <w:proofErr w:type="spellStart"/>
                  <w:r>
                    <w:rPr>
                      <w:rFonts w:cs="Arial"/>
                      <w:sz w:val="20"/>
                      <w:szCs w:val="20"/>
                      <w:lang w:val="sl-SI"/>
                    </w:rPr>
                    <w:t>nomotehnični</w:t>
                  </w:r>
                  <w:proofErr w:type="spellEnd"/>
                  <w:r>
                    <w:rPr>
                      <w:rFonts w:cs="Arial"/>
                      <w:sz w:val="20"/>
                      <w:szCs w:val="20"/>
                      <w:lang w:val="sl-SI"/>
                    </w:rPr>
                    <w:t xml:space="preserve"> popravek, saj se je </w:t>
                  </w:r>
                  <w:r w:rsidR="008E716D">
                    <w:rPr>
                      <w:rFonts w:cs="Arial"/>
                      <w:sz w:val="20"/>
                      <w:szCs w:val="20"/>
                      <w:lang w:val="sl-SI"/>
                    </w:rPr>
                    <w:t xml:space="preserve">s </w:t>
                  </w:r>
                  <w:r>
                    <w:rPr>
                      <w:rFonts w:cs="Arial"/>
                      <w:sz w:val="20"/>
                      <w:szCs w:val="20"/>
                      <w:lang w:val="sl-SI"/>
                    </w:rPr>
                    <w:t xml:space="preserve">spremembo ZDTon-A spremenilo številčenje odstavkov 14. </w:t>
                  </w:r>
                  <w:r w:rsidR="008E716D">
                    <w:rPr>
                      <w:rFonts w:cs="Arial"/>
                      <w:sz w:val="20"/>
                      <w:szCs w:val="20"/>
                      <w:lang w:val="sl-SI"/>
                    </w:rPr>
                    <w:t>č</w:t>
                  </w:r>
                  <w:r>
                    <w:rPr>
                      <w:rFonts w:cs="Arial"/>
                      <w:sz w:val="20"/>
                      <w:szCs w:val="20"/>
                      <w:lang w:val="sl-SI"/>
                    </w:rPr>
                    <w:t>len</w:t>
                  </w:r>
                  <w:r w:rsidR="008E716D">
                    <w:rPr>
                      <w:rFonts w:cs="Arial"/>
                      <w:sz w:val="20"/>
                      <w:szCs w:val="20"/>
                      <w:lang w:val="sl-SI"/>
                    </w:rPr>
                    <w:t>a Zakona o davku na tonažo, slednje pa se ni odrazilo v 15. členu</w:t>
                  </w:r>
                  <w:r w:rsidR="008E716D">
                    <w:rPr>
                      <w:rFonts w:cs="Arial"/>
                      <w:sz w:val="20"/>
                      <w:szCs w:val="20"/>
                    </w:rPr>
                    <w:t xml:space="preserve"> Zakona o davku na tonažo</w:t>
                  </w:r>
                  <w:r w:rsidR="008E716D">
                    <w:rPr>
                      <w:rFonts w:cs="Arial"/>
                      <w:sz w:val="20"/>
                      <w:szCs w:val="20"/>
                      <w:lang w:val="sl-SI"/>
                    </w:rPr>
                    <w:t>.</w:t>
                  </w:r>
                </w:p>
                <w:p w14:paraId="2C55990C" w14:textId="77777777" w:rsidR="003165B7" w:rsidRDefault="003165B7" w:rsidP="00766741">
                  <w:pPr>
                    <w:pStyle w:val="Neotevilenodstavek"/>
                    <w:spacing w:before="0" w:after="0" w:line="260" w:lineRule="exact"/>
                    <w:rPr>
                      <w:rFonts w:eastAsia="Calibri" w:cs="Arial"/>
                      <w:sz w:val="20"/>
                      <w:szCs w:val="20"/>
                      <w:lang w:val="sl-SI" w:eastAsia="en-US"/>
                    </w:rPr>
                  </w:pPr>
                </w:p>
                <w:p w14:paraId="057F8EA4" w14:textId="04958BF0" w:rsidR="00CB732E" w:rsidRPr="00FB752D" w:rsidRDefault="00CB732E" w:rsidP="00766741">
                  <w:pPr>
                    <w:pStyle w:val="Neotevilenodstavek"/>
                    <w:spacing w:before="0" w:after="0" w:line="260" w:lineRule="exact"/>
                    <w:rPr>
                      <w:rFonts w:eastAsia="Calibri" w:cs="Arial"/>
                      <w:sz w:val="20"/>
                      <w:szCs w:val="20"/>
                      <w:u w:val="single"/>
                      <w:lang w:val="sl-SI" w:eastAsia="en-US"/>
                    </w:rPr>
                  </w:pPr>
                  <w:r w:rsidRPr="00FB752D">
                    <w:rPr>
                      <w:rFonts w:eastAsia="Calibri" w:cs="Arial"/>
                      <w:sz w:val="20"/>
                      <w:szCs w:val="20"/>
                      <w:u w:val="single"/>
                      <w:lang w:val="sl-SI" w:eastAsia="en-US"/>
                    </w:rPr>
                    <w:t xml:space="preserve">K </w:t>
                  </w:r>
                  <w:r w:rsidR="003165B7" w:rsidRPr="00FB752D">
                    <w:rPr>
                      <w:rFonts w:eastAsia="Calibri" w:cs="Arial"/>
                      <w:sz w:val="20"/>
                      <w:szCs w:val="20"/>
                      <w:u w:val="single"/>
                      <w:lang w:val="sl-SI" w:eastAsia="en-US"/>
                    </w:rPr>
                    <w:t>5</w:t>
                  </w:r>
                  <w:r w:rsidR="00FB752D" w:rsidRPr="00FB752D">
                    <w:rPr>
                      <w:rFonts w:eastAsia="Calibri" w:cs="Arial"/>
                      <w:sz w:val="20"/>
                      <w:szCs w:val="20"/>
                      <w:u w:val="single"/>
                      <w:lang w:val="sl-SI" w:eastAsia="en-US"/>
                    </w:rPr>
                    <w:t>.</w:t>
                  </w:r>
                  <w:r w:rsidRPr="00FB752D">
                    <w:rPr>
                      <w:rFonts w:eastAsia="Calibri" w:cs="Arial"/>
                      <w:sz w:val="20"/>
                      <w:szCs w:val="20"/>
                      <w:u w:val="single"/>
                      <w:lang w:val="sl-SI" w:eastAsia="en-US"/>
                    </w:rPr>
                    <w:t xml:space="preserve"> členu</w:t>
                  </w:r>
                </w:p>
                <w:p w14:paraId="3FE3981C" w14:textId="2DD86077" w:rsidR="00FE3108" w:rsidRDefault="00FE3108" w:rsidP="00FE3108">
                  <w:pPr>
                    <w:pStyle w:val="Neotevilenodstavek"/>
                    <w:spacing w:before="0" w:after="0" w:line="260" w:lineRule="exact"/>
                    <w:rPr>
                      <w:rFonts w:cs="Arial"/>
                      <w:sz w:val="20"/>
                      <w:szCs w:val="20"/>
                      <w:lang w:val="sl-SI"/>
                    </w:rPr>
                  </w:pPr>
                  <w:r>
                    <w:rPr>
                      <w:rFonts w:cs="Arial"/>
                      <w:sz w:val="20"/>
                      <w:szCs w:val="20"/>
                      <w:lang w:val="sl-SI"/>
                    </w:rPr>
                    <w:t>Člen določa veljavnost</w:t>
                  </w:r>
                  <w:r w:rsidR="00A934CD">
                    <w:rPr>
                      <w:rFonts w:cs="Arial"/>
                      <w:sz w:val="20"/>
                      <w:szCs w:val="20"/>
                      <w:lang w:val="sl-SI"/>
                    </w:rPr>
                    <w:t xml:space="preserve"> in uporabo</w:t>
                  </w:r>
                  <w:r>
                    <w:rPr>
                      <w:rFonts w:cs="Arial"/>
                      <w:sz w:val="20"/>
                      <w:szCs w:val="20"/>
                      <w:lang w:val="sl-SI"/>
                    </w:rPr>
                    <w:t xml:space="preserve"> zakona. </w:t>
                  </w:r>
                  <w:r w:rsidR="00AD2A9F" w:rsidRPr="00FE3108">
                    <w:rPr>
                      <w:rFonts w:cs="Arial"/>
                      <w:sz w:val="20"/>
                      <w:szCs w:val="20"/>
                      <w:lang w:val="sl-SI"/>
                    </w:rPr>
                    <w:t xml:space="preserve">Zakon o spremembah </w:t>
                  </w:r>
                  <w:r w:rsidR="00A934CD">
                    <w:rPr>
                      <w:rFonts w:cs="Arial"/>
                      <w:sz w:val="20"/>
                      <w:szCs w:val="20"/>
                      <w:lang w:val="sl-SI"/>
                    </w:rPr>
                    <w:t>Z</w:t>
                  </w:r>
                  <w:r w:rsidR="00AD2A9F" w:rsidRPr="00FE3108">
                    <w:rPr>
                      <w:rFonts w:cs="Arial"/>
                      <w:sz w:val="20"/>
                      <w:szCs w:val="20"/>
                      <w:lang w:val="sl-SI"/>
                    </w:rPr>
                    <w:t>akona o</w:t>
                  </w:r>
                  <w:r w:rsidRPr="00FE3108">
                    <w:rPr>
                      <w:rFonts w:cs="Arial"/>
                      <w:sz w:val="20"/>
                      <w:szCs w:val="20"/>
                      <w:lang w:val="sl-SI"/>
                    </w:rPr>
                    <w:t xml:space="preserve"> davku na tonažo </w:t>
                  </w:r>
                  <w:r w:rsidR="008E716D">
                    <w:rPr>
                      <w:rFonts w:cs="Arial"/>
                      <w:sz w:val="20"/>
                      <w:szCs w:val="20"/>
                      <w:lang w:val="sl-SI"/>
                    </w:rPr>
                    <w:t xml:space="preserve">(ZDTon-B) </w:t>
                  </w:r>
                  <w:r w:rsidRPr="00FE3108">
                    <w:rPr>
                      <w:rFonts w:cs="Arial"/>
                      <w:sz w:val="20"/>
                      <w:szCs w:val="20"/>
                      <w:lang w:val="sl-SI"/>
                    </w:rPr>
                    <w:t xml:space="preserve">začne veljati </w:t>
                  </w:r>
                  <w:r w:rsidR="00AD2A9F" w:rsidRPr="00FE3108">
                    <w:rPr>
                      <w:rFonts w:cs="Arial"/>
                      <w:sz w:val="20"/>
                      <w:szCs w:val="20"/>
                      <w:lang w:val="sl-SI"/>
                    </w:rPr>
                    <w:t>petnajsti dan po objavi v Uradnem listu Republike Slovenije</w:t>
                  </w:r>
                  <w:r w:rsidR="00A934CD">
                    <w:rPr>
                      <w:rFonts w:cs="Arial"/>
                      <w:sz w:val="20"/>
                      <w:szCs w:val="20"/>
                      <w:lang w:val="sl-SI"/>
                    </w:rPr>
                    <w:t>,</w:t>
                  </w:r>
                  <w:r>
                    <w:rPr>
                      <w:rFonts w:cs="Arial"/>
                      <w:sz w:val="20"/>
                      <w:szCs w:val="20"/>
                      <w:lang w:val="sl-SI"/>
                    </w:rPr>
                    <w:t xml:space="preserve"> pri čemer pa se prvi člen</w:t>
                  </w:r>
                  <w:r w:rsidRPr="00FE3108">
                    <w:rPr>
                      <w:rFonts w:cs="Arial"/>
                      <w:sz w:val="20"/>
                      <w:szCs w:val="20"/>
                      <w:lang w:val="sl-SI"/>
                    </w:rPr>
                    <w:t xml:space="preserve"> </w:t>
                  </w:r>
                  <w:r w:rsidR="008E716D">
                    <w:rPr>
                      <w:rFonts w:cs="Arial"/>
                      <w:sz w:val="20"/>
                      <w:szCs w:val="20"/>
                      <w:lang w:val="sl-SI"/>
                    </w:rPr>
                    <w:t>ZDTon-B</w:t>
                  </w:r>
                  <w:r>
                    <w:rPr>
                      <w:rFonts w:cs="Arial"/>
                      <w:sz w:val="20"/>
                      <w:szCs w:val="20"/>
                      <w:lang w:val="sl-SI"/>
                    </w:rPr>
                    <w:t xml:space="preserve"> </w:t>
                  </w:r>
                  <w:r w:rsidR="00E95B09">
                    <w:rPr>
                      <w:rFonts w:cs="Arial"/>
                      <w:sz w:val="20"/>
                      <w:szCs w:val="20"/>
                      <w:lang w:val="sl-SI"/>
                    </w:rPr>
                    <w:t>uporablja šele po dnevu, ki b</w:t>
                  </w:r>
                  <w:r>
                    <w:rPr>
                      <w:rFonts w:cs="Arial"/>
                      <w:sz w:val="20"/>
                      <w:szCs w:val="20"/>
                      <w:lang w:val="sl-SI"/>
                    </w:rPr>
                    <w:t xml:space="preserve">o </w:t>
                  </w:r>
                  <w:r w:rsidR="00E95B09">
                    <w:rPr>
                      <w:rFonts w:cs="Arial"/>
                      <w:sz w:val="20"/>
                      <w:szCs w:val="20"/>
                      <w:lang w:val="sl-SI"/>
                    </w:rPr>
                    <w:t xml:space="preserve">v </w:t>
                  </w:r>
                  <w:r w:rsidR="00E95B09" w:rsidRPr="00AD2A9F">
                    <w:rPr>
                      <w:rFonts w:eastAsia="Calibri"/>
                      <w:sz w:val="20"/>
                      <w:szCs w:val="20"/>
                      <w:lang w:val="sl-SI" w:eastAsia="en-US"/>
                    </w:rPr>
                    <w:t>odobri</w:t>
                  </w:r>
                  <w:r w:rsidR="00E95B09">
                    <w:rPr>
                      <w:rFonts w:eastAsia="Calibri"/>
                      <w:sz w:val="20"/>
                      <w:szCs w:val="20"/>
                      <w:lang w:val="sl-SI" w:eastAsia="en-US"/>
                    </w:rPr>
                    <w:t xml:space="preserve">tvi </w:t>
                  </w:r>
                  <w:r>
                    <w:rPr>
                      <w:rFonts w:cs="Arial"/>
                      <w:sz w:val="20"/>
                      <w:szCs w:val="20"/>
                      <w:lang w:val="sl-SI"/>
                    </w:rPr>
                    <w:t>Evropsk</w:t>
                  </w:r>
                  <w:r w:rsidR="00E95B09">
                    <w:rPr>
                      <w:rFonts w:cs="Arial"/>
                      <w:sz w:val="20"/>
                      <w:szCs w:val="20"/>
                      <w:lang w:val="sl-SI"/>
                    </w:rPr>
                    <w:t>e</w:t>
                  </w:r>
                  <w:r>
                    <w:rPr>
                      <w:rFonts w:cs="Arial"/>
                      <w:sz w:val="20"/>
                      <w:szCs w:val="20"/>
                      <w:lang w:val="sl-SI"/>
                    </w:rPr>
                    <w:t xml:space="preserve"> komisij</w:t>
                  </w:r>
                  <w:r w:rsidR="00E95B09">
                    <w:rPr>
                      <w:rFonts w:cs="Arial"/>
                      <w:sz w:val="20"/>
                      <w:szCs w:val="20"/>
                      <w:lang w:val="sl-SI"/>
                    </w:rPr>
                    <w:t>e določen kot dan začetka</w:t>
                  </w:r>
                  <w:r w:rsidRPr="00AD2A9F">
                    <w:rPr>
                      <w:rFonts w:eastAsia="Calibri"/>
                      <w:sz w:val="20"/>
                      <w:szCs w:val="20"/>
                      <w:lang w:val="sl-SI" w:eastAsia="en-US"/>
                    </w:rPr>
                    <w:t xml:space="preserve"> </w:t>
                  </w:r>
                  <w:r w:rsidRPr="00AD2A9F">
                    <w:rPr>
                      <w:rFonts w:eastAsia="Calibri"/>
                      <w:sz w:val="20"/>
                      <w:szCs w:val="20"/>
                      <w:lang w:eastAsia="en-US"/>
                    </w:rPr>
                    <w:t>podaljšanj</w:t>
                  </w:r>
                  <w:r w:rsidR="00E95B09">
                    <w:rPr>
                      <w:rFonts w:eastAsia="Calibri"/>
                      <w:sz w:val="20"/>
                      <w:szCs w:val="20"/>
                      <w:lang w:val="sl-SI" w:eastAsia="en-US"/>
                    </w:rPr>
                    <w:t>a</w:t>
                  </w:r>
                  <w:r w:rsidRPr="00AD2A9F">
                    <w:rPr>
                      <w:rFonts w:eastAsia="Calibri"/>
                      <w:sz w:val="20"/>
                      <w:szCs w:val="20"/>
                      <w:lang w:eastAsia="en-US"/>
                    </w:rPr>
                    <w:t xml:space="preserve"> </w:t>
                  </w:r>
                  <w:r w:rsidRPr="00AD2A9F">
                    <w:rPr>
                      <w:rFonts w:eastAsia="Calibri"/>
                      <w:sz w:val="20"/>
                      <w:szCs w:val="20"/>
                      <w:lang w:val="sl-SI" w:eastAsia="en-US"/>
                    </w:rPr>
                    <w:t>shem</w:t>
                  </w:r>
                  <w:r w:rsidRPr="00AD2A9F">
                    <w:rPr>
                      <w:rFonts w:eastAsia="Calibri"/>
                      <w:sz w:val="20"/>
                      <w:szCs w:val="20"/>
                      <w:lang w:eastAsia="en-US"/>
                    </w:rPr>
                    <w:t>e</w:t>
                  </w:r>
                  <w:r w:rsidRPr="00AD2A9F">
                    <w:rPr>
                      <w:rFonts w:eastAsia="Calibri"/>
                      <w:sz w:val="20"/>
                      <w:szCs w:val="20"/>
                      <w:lang w:val="sl-SI" w:eastAsia="en-US"/>
                    </w:rPr>
                    <w:t xml:space="preserve"> državne pomoči</w:t>
                  </w:r>
                  <w:r>
                    <w:rPr>
                      <w:rFonts w:eastAsia="Calibri"/>
                      <w:sz w:val="20"/>
                      <w:szCs w:val="20"/>
                      <w:lang w:val="sl-SI" w:eastAsia="en-US"/>
                    </w:rPr>
                    <w:t>. To pomeni, da</w:t>
                  </w:r>
                  <w:r>
                    <w:rPr>
                      <w:rFonts w:cs="Arial"/>
                      <w:sz w:val="20"/>
                      <w:szCs w:val="20"/>
                      <w:lang w:val="sl-SI"/>
                    </w:rPr>
                    <w:t xml:space="preserve"> se </w:t>
                  </w:r>
                  <w:r w:rsidRPr="00715ED4">
                    <w:rPr>
                      <w:rFonts w:cs="Arial"/>
                      <w:sz w:val="20"/>
                      <w:szCs w:val="20"/>
                    </w:rPr>
                    <w:t>rešitev</w:t>
                  </w:r>
                  <w:r w:rsidR="00A934CD">
                    <w:rPr>
                      <w:rFonts w:cs="Arial"/>
                      <w:sz w:val="20"/>
                      <w:szCs w:val="20"/>
                      <w:lang w:val="sl-SI"/>
                    </w:rPr>
                    <w:t>,</w:t>
                  </w:r>
                  <w:r w:rsidRPr="00715ED4">
                    <w:rPr>
                      <w:rFonts w:cs="Arial"/>
                      <w:sz w:val="20"/>
                      <w:szCs w:val="20"/>
                    </w:rPr>
                    <w:t xml:space="preserve"> </w:t>
                  </w:r>
                  <w:r>
                    <w:rPr>
                      <w:rFonts w:cs="Arial"/>
                      <w:sz w:val="20"/>
                      <w:szCs w:val="20"/>
                      <w:lang w:val="sl-SI"/>
                    </w:rPr>
                    <w:t>določena v prvem členu</w:t>
                  </w:r>
                  <w:r w:rsidR="00A934CD">
                    <w:rPr>
                      <w:rFonts w:cs="Arial"/>
                      <w:sz w:val="20"/>
                      <w:szCs w:val="20"/>
                      <w:lang w:val="sl-SI"/>
                    </w:rPr>
                    <w:t>,</w:t>
                  </w:r>
                  <w:r w:rsidRPr="00715ED4">
                    <w:rPr>
                      <w:rFonts w:cs="Arial"/>
                      <w:sz w:val="20"/>
                      <w:szCs w:val="20"/>
                    </w:rPr>
                    <w:t xml:space="preserve"> uporablja za dohodke od prodaje ladij</w:t>
                  </w:r>
                  <w:r>
                    <w:rPr>
                      <w:rFonts w:cs="Arial"/>
                      <w:sz w:val="20"/>
                      <w:szCs w:val="20"/>
                      <w:lang w:val="sl-SI"/>
                    </w:rPr>
                    <w:t xml:space="preserve">, ki so </w:t>
                  </w:r>
                  <w:r w:rsidRPr="00715ED4">
                    <w:rPr>
                      <w:rFonts w:cs="Arial"/>
                      <w:sz w:val="20"/>
                      <w:szCs w:val="20"/>
                    </w:rPr>
                    <w:t xml:space="preserve">nastali po </w:t>
                  </w:r>
                  <w:r w:rsidR="00E95B09">
                    <w:rPr>
                      <w:rFonts w:cs="Arial"/>
                      <w:sz w:val="20"/>
                      <w:szCs w:val="20"/>
                      <w:lang w:val="sl-SI"/>
                    </w:rPr>
                    <w:t>začetku</w:t>
                  </w:r>
                  <w:r>
                    <w:rPr>
                      <w:rFonts w:cs="Arial"/>
                      <w:sz w:val="20"/>
                      <w:szCs w:val="20"/>
                      <w:lang w:val="sl-SI"/>
                    </w:rPr>
                    <w:t xml:space="preserve"> </w:t>
                  </w:r>
                  <w:r w:rsidRPr="00715ED4">
                    <w:rPr>
                      <w:rFonts w:cs="Arial"/>
                      <w:sz w:val="20"/>
                      <w:szCs w:val="20"/>
                    </w:rPr>
                    <w:t>podaljšanj</w:t>
                  </w:r>
                  <w:r>
                    <w:rPr>
                      <w:rFonts w:cs="Arial"/>
                      <w:sz w:val="20"/>
                      <w:szCs w:val="20"/>
                      <w:lang w:val="sl-SI"/>
                    </w:rPr>
                    <w:t>a</w:t>
                  </w:r>
                  <w:r w:rsidRPr="00715ED4">
                    <w:rPr>
                      <w:rFonts w:cs="Arial"/>
                      <w:sz w:val="20"/>
                      <w:szCs w:val="20"/>
                    </w:rPr>
                    <w:t xml:space="preserve"> sheme. Ne uporablja pa se za ladje, ki so bile prodane pred </w:t>
                  </w:r>
                  <w:r w:rsidR="00E95B09">
                    <w:rPr>
                      <w:rFonts w:cs="Arial"/>
                      <w:sz w:val="20"/>
                      <w:szCs w:val="20"/>
                      <w:lang w:val="sl-SI"/>
                    </w:rPr>
                    <w:t xml:space="preserve">tem </w:t>
                  </w:r>
                  <w:r w:rsidRPr="00715ED4">
                    <w:rPr>
                      <w:rFonts w:cs="Arial"/>
                      <w:sz w:val="20"/>
                      <w:szCs w:val="20"/>
                    </w:rPr>
                    <w:t>dnem</w:t>
                  </w:r>
                  <w:r>
                    <w:rPr>
                      <w:rFonts w:cs="Arial"/>
                      <w:sz w:val="20"/>
                      <w:szCs w:val="20"/>
                      <w:lang w:val="sl-SI"/>
                    </w:rPr>
                    <w:t>. Ti doh</w:t>
                  </w:r>
                  <w:r w:rsidR="000647AD">
                    <w:rPr>
                      <w:rFonts w:cs="Arial"/>
                      <w:sz w:val="20"/>
                      <w:szCs w:val="20"/>
                      <w:lang w:val="sl-SI"/>
                    </w:rPr>
                    <w:t>od</w:t>
                  </w:r>
                  <w:r>
                    <w:rPr>
                      <w:rFonts w:cs="Arial"/>
                      <w:sz w:val="20"/>
                      <w:szCs w:val="20"/>
                      <w:lang w:val="sl-SI"/>
                    </w:rPr>
                    <w:t xml:space="preserve">ki se v izračun davčne osnove </w:t>
                  </w:r>
                  <w:r w:rsidRPr="00621BFE">
                    <w:rPr>
                      <w:rFonts w:cs="Arial"/>
                      <w:sz w:val="20"/>
                      <w:szCs w:val="20"/>
                      <w:lang w:val="sl-SI"/>
                    </w:rPr>
                    <w:t>davka od dohodkov pravnih oseb</w:t>
                  </w:r>
                  <w:r>
                    <w:rPr>
                      <w:rFonts w:cs="Arial"/>
                      <w:sz w:val="20"/>
                      <w:szCs w:val="20"/>
                      <w:lang w:val="sl-SI"/>
                    </w:rPr>
                    <w:t xml:space="preserve"> vključijo v celoti, to je </w:t>
                  </w:r>
                  <w:r w:rsidR="000647AD">
                    <w:rPr>
                      <w:rFonts w:cs="Arial"/>
                      <w:sz w:val="20"/>
                      <w:szCs w:val="20"/>
                      <w:lang w:val="sl-SI"/>
                    </w:rPr>
                    <w:t>kot je</w:t>
                  </w:r>
                  <w:r w:rsidR="00BA0E80">
                    <w:rPr>
                      <w:rFonts w:cs="Arial"/>
                      <w:sz w:val="20"/>
                      <w:szCs w:val="20"/>
                      <w:lang w:val="sl-SI"/>
                    </w:rPr>
                    <w:t xml:space="preserve"> veljalo pred spremembami </w:t>
                  </w:r>
                  <w:r>
                    <w:rPr>
                      <w:rFonts w:cs="Arial"/>
                      <w:sz w:val="20"/>
                      <w:szCs w:val="20"/>
                      <w:lang w:val="sl-SI"/>
                    </w:rPr>
                    <w:t>Zakona o davku na tonažo.</w:t>
                  </w:r>
                </w:p>
                <w:p w14:paraId="5B9B47D4" w14:textId="77777777" w:rsidR="00BD6AC8" w:rsidRDefault="00BD6AC8" w:rsidP="00FE3108">
                  <w:pPr>
                    <w:pStyle w:val="Neotevilenodstavek"/>
                    <w:spacing w:before="0" w:after="0" w:line="260" w:lineRule="exact"/>
                    <w:rPr>
                      <w:rFonts w:eastAsia="Calibri" w:cs="Arial"/>
                      <w:sz w:val="20"/>
                      <w:szCs w:val="20"/>
                      <w:lang w:val="sl-SI" w:eastAsia="en-US"/>
                    </w:rPr>
                  </w:pPr>
                </w:p>
                <w:p w14:paraId="6F1F7AF0" w14:textId="77777777" w:rsidR="00BD6AC8" w:rsidRDefault="00BD6AC8" w:rsidP="00FE3108">
                  <w:pPr>
                    <w:pStyle w:val="Neotevilenodstavek"/>
                    <w:spacing w:before="0" w:after="0" w:line="260" w:lineRule="exact"/>
                    <w:rPr>
                      <w:rFonts w:eastAsia="Calibri" w:cs="Arial"/>
                      <w:sz w:val="20"/>
                      <w:szCs w:val="20"/>
                      <w:lang w:val="sl-SI" w:eastAsia="en-US"/>
                    </w:rPr>
                  </w:pPr>
                </w:p>
                <w:p w14:paraId="25BC2ABF" w14:textId="77777777" w:rsidR="00BD6AC8" w:rsidRDefault="00BD6AC8" w:rsidP="00FE3108">
                  <w:pPr>
                    <w:pStyle w:val="Neotevilenodstavek"/>
                    <w:spacing w:before="0" w:after="0" w:line="260" w:lineRule="exact"/>
                    <w:rPr>
                      <w:rFonts w:eastAsia="Calibri" w:cs="Arial"/>
                      <w:sz w:val="20"/>
                      <w:szCs w:val="20"/>
                      <w:lang w:val="sl-SI" w:eastAsia="en-US"/>
                    </w:rPr>
                  </w:pPr>
                </w:p>
                <w:p w14:paraId="3EC0A80B" w14:textId="77777777" w:rsidR="00BD6AC8" w:rsidRDefault="00BD6AC8" w:rsidP="00FE3108">
                  <w:pPr>
                    <w:pStyle w:val="Neotevilenodstavek"/>
                    <w:spacing w:before="0" w:after="0" w:line="260" w:lineRule="exact"/>
                    <w:rPr>
                      <w:rFonts w:eastAsia="Calibri" w:cs="Arial"/>
                      <w:sz w:val="20"/>
                      <w:szCs w:val="20"/>
                      <w:lang w:val="sl-SI" w:eastAsia="en-US"/>
                    </w:rPr>
                  </w:pPr>
                </w:p>
                <w:p w14:paraId="7FFB92D9" w14:textId="77777777" w:rsidR="00BD6AC8" w:rsidRDefault="00BD6AC8" w:rsidP="00FE3108">
                  <w:pPr>
                    <w:pStyle w:val="Neotevilenodstavek"/>
                    <w:spacing w:before="0" w:after="0" w:line="260" w:lineRule="exact"/>
                    <w:rPr>
                      <w:rFonts w:eastAsia="Calibri" w:cs="Arial"/>
                      <w:sz w:val="20"/>
                      <w:szCs w:val="20"/>
                      <w:lang w:val="sl-SI" w:eastAsia="en-US"/>
                    </w:rPr>
                  </w:pPr>
                </w:p>
                <w:p w14:paraId="713D7B67" w14:textId="77777777" w:rsidR="00BD6AC8" w:rsidRDefault="00BD6AC8" w:rsidP="00FE3108">
                  <w:pPr>
                    <w:pStyle w:val="Neotevilenodstavek"/>
                    <w:spacing w:before="0" w:after="0" w:line="260" w:lineRule="exact"/>
                    <w:rPr>
                      <w:rFonts w:eastAsia="Calibri" w:cs="Arial"/>
                      <w:sz w:val="20"/>
                      <w:szCs w:val="20"/>
                      <w:lang w:val="sl-SI" w:eastAsia="en-US"/>
                    </w:rPr>
                  </w:pPr>
                </w:p>
                <w:p w14:paraId="5EB3FFE6" w14:textId="77777777" w:rsidR="00BD6AC8" w:rsidRDefault="00BD6AC8" w:rsidP="00FE3108">
                  <w:pPr>
                    <w:pStyle w:val="Neotevilenodstavek"/>
                    <w:spacing w:before="0" w:after="0" w:line="260" w:lineRule="exact"/>
                    <w:rPr>
                      <w:rFonts w:eastAsia="Calibri" w:cs="Arial"/>
                      <w:sz w:val="20"/>
                      <w:szCs w:val="20"/>
                      <w:lang w:val="sl-SI" w:eastAsia="en-US"/>
                    </w:rPr>
                  </w:pPr>
                </w:p>
                <w:p w14:paraId="3A6D0088" w14:textId="77777777" w:rsidR="00BD6AC8" w:rsidRDefault="00BD6AC8" w:rsidP="00FE3108">
                  <w:pPr>
                    <w:pStyle w:val="Neotevilenodstavek"/>
                    <w:spacing w:before="0" w:after="0" w:line="260" w:lineRule="exact"/>
                    <w:rPr>
                      <w:rFonts w:eastAsia="Calibri" w:cs="Arial"/>
                      <w:sz w:val="20"/>
                      <w:szCs w:val="20"/>
                      <w:lang w:val="sl-SI" w:eastAsia="en-US"/>
                    </w:rPr>
                  </w:pPr>
                </w:p>
                <w:p w14:paraId="02BA436B" w14:textId="77777777" w:rsidR="00BD6AC8" w:rsidRDefault="00BD6AC8" w:rsidP="00FE3108">
                  <w:pPr>
                    <w:pStyle w:val="Neotevilenodstavek"/>
                    <w:spacing w:before="0" w:after="0" w:line="260" w:lineRule="exact"/>
                    <w:rPr>
                      <w:rFonts w:eastAsia="Calibri" w:cs="Arial"/>
                      <w:sz w:val="20"/>
                      <w:szCs w:val="20"/>
                      <w:lang w:val="sl-SI" w:eastAsia="en-US"/>
                    </w:rPr>
                  </w:pPr>
                </w:p>
                <w:p w14:paraId="0D8331A7" w14:textId="77777777" w:rsidR="00BD6AC8" w:rsidRDefault="00BD6AC8" w:rsidP="00FE3108">
                  <w:pPr>
                    <w:pStyle w:val="Neotevilenodstavek"/>
                    <w:spacing w:before="0" w:after="0" w:line="260" w:lineRule="exact"/>
                    <w:rPr>
                      <w:rFonts w:eastAsia="Calibri" w:cs="Arial"/>
                      <w:sz w:val="20"/>
                      <w:szCs w:val="20"/>
                      <w:lang w:val="sl-SI" w:eastAsia="en-US"/>
                    </w:rPr>
                  </w:pPr>
                </w:p>
                <w:p w14:paraId="7D148B90" w14:textId="77777777" w:rsidR="00BD6AC8" w:rsidRDefault="00BD6AC8" w:rsidP="00FE3108">
                  <w:pPr>
                    <w:pStyle w:val="Neotevilenodstavek"/>
                    <w:spacing w:before="0" w:after="0" w:line="260" w:lineRule="exact"/>
                    <w:rPr>
                      <w:rFonts w:eastAsia="Calibri" w:cs="Arial"/>
                      <w:sz w:val="20"/>
                      <w:szCs w:val="20"/>
                      <w:lang w:val="sl-SI" w:eastAsia="en-US"/>
                    </w:rPr>
                  </w:pPr>
                </w:p>
                <w:p w14:paraId="183B007C" w14:textId="77777777" w:rsidR="00BD6AC8" w:rsidRDefault="00BD6AC8" w:rsidP="00FE3108">
                  <w:pPr>
                    <w:pStyle w:val="Neotevilenodstavek"/>
                    <w:spacing w:before="0" w:after="0" w:line="260" w:lineRule="exact"/>
                    <w:rPr>
                      <w:rFonts w:eastAsia="Calibri" w:cs="Arial"/>
                      <w:sz w:val="20"/>
                      <w:szCs w:val="20"/>
                      <w:lang w:val="sl-SI" w:eastAsia="en-US"/>
                    </w:rPr>
                  </w:pPr>
                </w:p>
                <w:p w14:paraId="2A8E618D" w14:textId="77777777" w:rsidR="00BD6AC8" w:rsidRDefault="00BD6AC8" w:rsidP="00FE3108">
                  <w:pPr>
                    <w:pStyle w:val="Neotevilenodstavek"/>
                    <w:spacing w:before="0" w:after="0" w:line="260" w:lineRule="exact"/>
                    <w:rPr>
                      <w:rFonts w:eastAsia="Calibri" w:cs="Arial"/>
                      <w:sz w:val="20"/>
                      <w:szCs w:val="20"/>
                      <w:lang w:val="sl-SI" w:eastAsia="en-US"/>
                    </w:rPr>
                  </w:pPr>
                </w:p>
                <w:p w14:paraId="33412328" w14:textId="77777777" w:rsidR="00BD6AC8" w:rsidRDefault="00BD6AC8" w:rsidP="00FE3108">
                  <w:pPr>
                    <w:pStyle w:val="Neotevilenodstavek"/>
                    <w:spacing w:before="0" w:after="0" w:line="260" w:lineRule="exact"/>
                    <w:rPr>
                      <w:rFonts w:eastAsia="Calibri" w:cs="Arial"/>
                      <w:sz w:val="20"/>
                      <w:szCs w:val="20"/>
                      <w:lang w:val="sl-SI" w:eastAsia="en-US"/>
                    </w:rPr>
                  </w:pPr>
                </w:p>
                <w:p w14:paraId="27AC82C7" w14:textId="4FBD7BAF" w:rsidR="00392394" w:rsidRDefault="00392394" w:rsidP="00FE3108">
                  <w:pPr>
                    <w:pStyle w:val="Neotevilenodstavek"/>
                    <w:spacing w:before="0" w:after="0" w:line="260" w:lineRule="exact"/>
                    <w:rPr>
                      <w:rFonts w:eastAsia="Calibri" w:cs="Arial"/>
                      <w:sz w:val="20"/>
                      <w:szCs w:val="20"/>
                      <w:lang w:val="sl-SI" w:eastAsia="en-US"/>
                    </w:rPr>
                  </w:pPr>
                </w:p>
                <w:p w14:paraId="78A43CCD" w14:textId="77777777" w:rsidR="00392394" w:rsidRDefault="00392394" w:rsidP="00FE3108">
                  <w:pPr>
                    <w:pStyle w:val="Neotevilenodstavek"/>
                    <w:spacing w:before="0" w:after="0" w:line="260" w:lineRule="exact"/>
                    <w:rPr>
                      <w:rFonts w:eastAsia="Calibri" w:cs="Arial"/>
                      <w:sz w:val="20"/>
                      <w:szCs w:val="20"/>
                      <w:lang w:val="sl-SI" w:eastAsia="en-US"/>
                    </w:rPr>
                  </w:pPr>
                </w:p>
                <w:p w14:paraId="4E0B6B2E" w14:textId="70BA4C11" w:rsidR="00BD6AC8" w:rsidRPr="00415A84" w:rsidRDefault="00BD6AC8" w:rsidP="00FE3108">
                  <w:pPr>
                    <w:pStyle w:val="Neotevilenodstavek"/>
                    <w:spacing w:before="0" w:after="0" w:line="260" w:lineRule="exact"/>
                    <w:rPr>
                      <w:rFonts w:eastAsia="Calibri" w:cs="Arial"/>
                      <w:sz w:val="20"/>
                      <w:szCs w:val="20"/>
                      <w:lang w:val="sl-SI" w:eastAsia="en-US"/>
                    </w:rPr>
                  </w:pPr>
                </w:p>
              </w:tc>
            </w:tr>
            <w:tr w:rsidR="005C7977" w:rsidRPr="00415A84" w14:paraId="63D1DAAB" w14:textId="77777777" w:rsidTr="00766741">
              <w:tc>
                <w:tcPr>
                  <w:tcW w:w="9213" w:type="dxa"/>
                </w:tcPr>
                <w:p w14:paraId="6CD934F7" w14:textId="77777777" w:rsidR="005C7977" w:rsidRPr="00684337" w:rsidRDefault="005C7977" w:rsidP="00766741">
                  <w:pPr>
                    <w:pStyle w:val="Poglavje"/>
                    <w:spacing w:before="0" w:after="0" w:line="260" w:lineRule="exact"/>
                    <w:jc w:val="left"/>
                    <w:rPr>
                      <w:rFonts w:eastAsia="Calibri"/>
                      <w:sz w:val="20"/>
                      <w:szCs w:val="20"/>
                      <w:lang w:eastAsia="en-US"/>
                    </w:rPr>
                  </w:pPr>
                  <w:r w:rsidRPr="00684337">
                    <w:rPr>
                      <w:rFonts w:eastAsia="Calibri"/>
                      <w:sz w:val="20"/>
                      <w:szCs w:val="20"/>
                      <w:lang w:eastAsia="en-US"/>
                    </w:rPr>
                    <w:lastRenderedPageBreak/>
                    <w:t>IV. BESEDILO ČLENOV, KI SE SPREMINJAJO</w:t>
                  </w:r>
                </w:p>
              </w:tc>
            </w:tr>
            <w:tr w:rsidR="005C7977" w:rsidRPr="00415A84" w14:paraId="2586A39F" w14:textId="77777777" w:rsidTr="00766741">
              <w:tc>
                <w:tcPr>
                  <w:tcW w:w="9213" w:type="dxa"/>
                </w:tcPr>
                <w:p w14:paraId="04BEC48A" w14:textId="1075BB59" w:rsidR="005C7977" w:rsidRPr="00415A84" w:rsidRDefault="005C7977" w:rsidP="00766741">
                  <w:pPr>
                    <w:pStyle w:val="Neotevilenodstavek"/>
                    <w:spacing w:before="0" w:after="0" w:line="260" w:lineRule="exact"/>
                    <w:rPr>
                      <w:rFonts w:eastAsia="Calibri" w:cs="Arial"/>
                      <w:sz w:val="20"/>
                      <w:szCs w:val="20"/>
                      <w:lang w:val="sl-SI" w:eastAsia="en-US"/>
                    </w:rPr>
                  </w:pPr>
                </w:p>
              </w:tc>
            </w:tr>
            <w:tr w:rsidR="005C7977" w:rsidRPr="00415A84" w14:paraId="61C789E9" w14:textId="77777777" w:rsidTr="00766741">
              <w:tc>
                <w:tcPr>
                  <w:tcW w:w="9213" w:type="dxa"/>
                </w:tcPr>
                <w:p w14:paraId="717F8545" w14:textId="77777777" w:rsidR="002B3F22" w:rsidRPr="00415A84" w:rsidRDefault="002B3F22" w:rsidP="002B3F22">
                  <w:pPr>
                    <w:pStyle w:val="len1"/>
                    <w:rPr>
                      <w:rFonts w:eastAsia="Calibri"/>
                      <w:b w:val="0"/>
                      <w:bCs w:val="0"/>
                      <w:sz w:val="20"/>
                      <w:szCs w:val="20"/>
                      <w:lang w:eastAsia="en-US"/>
                    </w:rPr>
                  </w:pPr>
                  <w:r w:rsidRPr="00415A84">
                    <w:rPr>
                      <w:rFonts w:eastAsia="Calibri"/>
                      <w:b w:val="0"/>
                      <w:bCs w:val="0"/>
                      <w:sz w:val="20"/>
                      <w:szCs w:val="20"/>
                      <w:lang w:eastAsia="en-US"/>
                    </w:rPr>
                    <w:t>4. člen</w:t>
                  </w:r>
                </w:p>
                <w:p w14:paraId="44289DC7" w14:textId="77777777" w:rsidR="002B3F22" w:rsidRPr="00415A84" w:rsidRDefault="002B3F22" w:rsidP="002B3F22">
                  <w:pPr>
                    <w:pStyle w:val="lennaslov1"/>
                    <w:rPr>
                      <w:rFonts w:eastAsia="Calibri"/>
                      <w:b w:val="0"/>
                      <w:bCs w:val="0"/>
                      <w:sz w:val="20"/>
                      <w:szCs w:val="20"/>
                      <w:lang w:eastAsia="en-US"/>
                    </w:rPr>
                  </w:pPr>
                  <w:r w:rsidRPr="00415A84">
                    <w:rPr>
                      <w:rFonts w:eastAsia="Calibri"/>
                      <w:b w:val="0"/>
                      <w:bCs w:val="0"/>
                      <w:sz w:val="20"/>
                      <w:szCs w:val="20"/>
                      <w:lang w:eastAsia="en-US"/>
                    </w:rPr>
                    <w:t>(dohodki iz poslovanja z ladjami v mednarodni plovbi)</w:t>
                  </w:r>
                </w:p>
                <w:p w14:paraId="6539C2EB" w14:textId="77777777" w:rsidR="002B3F22" w:rsidRPr="00415A84" w:rsidRDefault="002B3F22" w:rsidP="002B3F22">
                  <w:pPr>
                    <w:pStyle w:val="odstavek1"/>
                    <w:rPr>
                      <w:rFonts w:eastAsia="Calibri"/>
                      <w:sz w:val="20"/>
                      <w:szCs w:val="20"/>
                      <w:lang w:eastAsia="en-US"/>
                    </w:rPr>
                  </w:pPr>
                  <w:r w:rsidRPr="00415A84">
                    <w:rPr>
                      <w:rFonts w:eastAsia="Calibri"/>
                      <w:sz w:val="20"/>
                      <w:szCs w:val="20"/>
                      <w:lang w:eastAsia="en-US"/>
                    </w:rPr>
                    <w:t>(1) Dohodki iz poslovanja z ladjami v mednarodni plovbi po tem zakonu so:</w:t>
                  </w:r>
                </w:p>
                <w:p w14:paraId="73F79339" w14:textId="77777777" w:rsidR="002B3F22" w:rsidRPr="00415A84" w:rsidRDefault="002B3F22" w:rsidP="002B3F22">
                  <w:pPr>
                    <w:pStyle w:val="tevilnatoka1"/>
                    <w:rPr>
                      <w:rFonts w:eastAsia="Calibri"/>
                      <w:sz w:val="20"/>
                      <w:szCs w:val="20"/>
                      <w:lang w:eastAsia="en-US"/>
                    </w:rPr>
                  </w:pPr>
                  <w:r w:rsidRPr="00415A84">
                    <w:rPr>
                      <w:rFonts w:eastAsia="Calibri"/>
                      <w:sz w:val="20"/>
                      <w:szCs w:val="20"/>
                      <w:lang w:eastAsia="en-US"/>
                    </w:rPr>
                    <w:t>1.     dohodki iz dejavnosti pomorskega prometa v mednarodni plovbi,</w:t>
                  </w:r>
                </w:p>
                <w:p w14:paraId="7BD7FA73" w14:textId="77777777" w:rsidR="002B3F22" w:rsidRPr="00415A84" w:rsidRDefault="002B3F22" w:rsidP="002B3F22">
                  <w:pPr>
                    <w:pStyle w:val="tevilnatoka1"/>
                    <w:rPr>
                      <w:rFonts w:eastAsia="Calibri"/>
                      <w:sz w:val="20"/>
                      <w:szCs w:val="20"/>
                      <w:lang w:eastAsia="en-US"/>
                    </w:rPr>
                  </w:pPr>
                  <w:r w:rsidRPr="00415A84">
                    <w:rPr>
                      <w:rFonts w:eastAsia="Calibri"/>
                      <w:sz w:val="20"/>
                      <w:szCs w:val="20"/>
                      <w:lang w:eastAsia="en-US"/>
                    </w:rPr>
                    <w:t>2.     dohodki od vleke ladij in pomoči (asistence) na morju zunaj pristanišč,</w:t>
                  </w:r>
                </w:p>
                <w:p w14:paraId="27AFFAA6" w14:textId="77777777" w:rsidR="002B3F22" w:rsidRPr="00415A84" w:rsidRDefault="002B3F22" w:rsidP="002B3F22">
                  <w:pPr>
                    <w:pStyle w:val="tevilnatoka1"/>
                    <w:rPr>
                      <w:rFonts w:eastAsia="Calibri"/>
                      <w:sz w:val="20"/>
                      <w:szCs w:val="20"/>
                      <w:lang w:eastAsia="en-US"/>
                    </w:rPr>
                  </w:pPr>
                  <w:r w:rsidRPr="00415A84">
                    <w:rPr>
                      <w:rFonts w:eastAsia="Calibri"/>
                      <w:sz w:val="20"/>
                      <w:szCs w:val="20"/>
                      <w:lang w:eastAsia="en-US"/>
                    </w:rPr>
                    <w:t>3.     dohodki od prodaje ladij, vključenih v sistem davka na tonažo, če se v roku petih let od prodaje porabijo za nakup ene ali več ladij oziroma ladjarske družbe ali deleža ladjarske družbe,</w:t>
                  </w:r>
                </w:p>
                <w:p w14:paraId="252F894C" w14:textId="77777777" w:rsidR="002B3F22" w:rsidRPr="00415A84" w:rsidRDefault="002B3F22" w:rsidP="002B3F22">
                  <w:pPr>
                    <w:pStyle w:val="tevilnatoka1"/>
                    <w:rPr>
                      <w:rFonts w:eastAsia="Calibri"/>
                      <w:sz w:val="20"/>
                      <w:szCs w:val="20"/>
                      <w:lang w:eastAsia="en-US"/>
                    </w:rPr>
                  </w:pPr>
                  <w:r w:rsidRPr="00415A84">
                    <w:rPr>
                      <w:rFonts w:eastAsia="Calibri"/>
                      <w:sz w:val="20"/>
                      <w:szCs w:val="20"/>
                      <w:lang w:eastAsia="en-US"/>
                    </w:rPr>
                    <w:t>4.     dobiček oziroma dividende od ladjarskih družb.</w:t>
                  </w:r>
                </w:p>
                <w:p w14:paraId="2BB2FE07" w14:textId="77777777" w:rsidR="002B3F22" w:rsidRPr="00415A84" w:rsidRDefault="002B3F22" w:rsidP="002B3F22">
                  <w:pPr>
                    <w:pStyle w:val="odstavek1"/>
                    <w:rPr>
                      <w:rFonts w:eastAsia="Calibri"/>
                      <w:sz w:val="20"/>
                      <w:szCs w:val="20"/>
                      <w:lang w:eastAsia="en-US"/>
                    </w:rPr>
                  </w:pPr>
                  <w:r w:rsidRPr="00415A84">
                    <w:rPr>
                      <w:rFonts w:eastAsia="Calibri"/>
                      <w:sz w:val="20"/>
                      <w:szCs w:val="20"/>
                      <w:lang w:eastAsia="en-US"/>
                    </w:rPr>
                    <w:t>(2) Dohodki iz prve točke prejšnjega odstavka so zlasti dohodki od:</w:t>
                  </w:r>
                </w:p>
                <w:p w14:paraId="0CC82F15" w14:textId="77777777" w:rsidR="002B3F22" w:rsidRPr="00415A84" w:rsidRDefault="002B3F22" w:rsidP="002B3F22">
                  <w:pPr>
                    <w:pStyle w:val="tevilnatoka1"/>
                    <w:rPr>
                      <w:rFonts w:eastAsia="Calibri"/>
                      <w:sz w:val="20"/>
                      <w:szCs w:val="20"/>
                      <w:lang w:eastAsia="en-US"/>
                    </w:rPr>
                  </w:pPr>
                  <w:r w:rsidRPr="00415A84">
                    <w:rPr>
                      <w:rFonts w:eastAsia="Calibri"/>
                      <w:sz w:val="20"/>
                      <w:szCs w:val="20"/>
                      <w:lang w:eastAsia="en-US"/>
                    </w:rPr>
                    <w:t>1.     pomorskega prevoza blaga in potnikov oziroma potnic (v nadaljnjem besedilu: potnikov),</w:t>
                  </w:r>
                </w:p>
                <w:p w14:paraId="76C2F89D" w14:textId="77777777" w:rsidR="002B3F22" w:rsidRPr="00415A84" w:rsidRDefault="002B3F22" w:rsidP="002B3F22">
                  <w:pPr>
                    <w:pStyle w:val="tevilnatoka1"/>
                    <w:rPr>
                      <w:rFonts w:eastAsia="Calibri"/>
                      <w:sz w:val="20"/>
                      <w:szCs w:val="20"/>
                      <w:lang w:eastAsia="en-US"/>
                    </w:rPr>
                  </w:pPr>
                  <w:r w:rsidRPr="00415A84">
                    <w:rPr>
                      <w:rFonts w:eastAsia="Calibri"/>
                      <w:sz w:val="20"/>
                      <w:szCs w:val="20"/>
                      <w:lang w:eastAsia="en-US"/>
                    </w:rPr>
                    <w:t>2.     oddaje v najem cele ladje ali dela ladje,</w:t>
                  </w:r>
                </w:p>
                <w:p w14:paraId="30C8A3E2" w14:textId="77777777" w:rsidR="002B3F22" w:rsidRPr="00415A84" w:rsidRDefault="002B3F22" w:rsidP="002B3F22">
                  <w:pPr>
                    <w:pStyle w:val="tevilnatoka1"/>
                    <w:rPr>
                      <w:rFonts w:eastAsia="Calibri"/>
                      <w:sz w:val="20"/>
                      <w:szCs w:val="20"/>
                      <w:lang w:eastAsia="en-US"/>
                    </w:rPr>
                  </w:pPr>
                  <w:r w:rsidRPr="00415A84">
                    <w:rPr>
                      <w:rFonts w:eastAsia="Calibri"/>
                      <w:sz w:val="20"/>
                      <w:szCs w:val="20"/>
                      <w:lang w:eastAsia="en-US"/>
                    </w:rPr>
                    <w:t>3.     oddaje ladje v zakup povezani družbi,</w:t>
                  </w:r>
                </w:p>
                <w:p w14:paraId="1C43F0E4" w14:textId="77777777" w:rsidR="002B3F22" w:rsidRPr="00415A84" w:rsidRDefault="002B3F22" w:rsidP="002B3F22">
                  <w:pPr>
                    <w:pStyle w:val="tevilnatoka1"/>
                    <w:rPr>
                      <w:rFonts w:eastAsia="Calibri"/>
                      <w:sz w:val="20"/>
                      <w:szCs w:val="20"/>
                      <w:lang w:eastAsia="en-US"/>
                    </w:rPr>
                  </w:pPr>
                  <w:r w:rsidRPr="00415A84">
                    <w:rPr>
                      <w:rFonts w:eastAsia="Calibri"/>
                      <w:sz w:val="20"/>
                      <w:szCs w:val="20"/>
                      <w:lang w:eastAsia="en-US"/>
                    </w:rPr>
                    <w:t>4.     stojnin za ladje in kontejnerje,</w:t>
                  </w:r>
                </w:p>
                <w:p w14:paraId="757D21DB" w14:textId="77777777" w:rsidR="002B3F22" w:rsidRPr="00415A84" w:rsidRDefault="002B3F22" w:rsidP="002B3F22">
                  <w:pPr>
                    <w:pStyle w:val="tevilnatoka1"/>
                    <w:rPr>
                      <w:rFonts w:eastAsia="Calibri"/>
                      <w:sz w:val="20"/>
                      <w:szCs w:val="20"/>
                      <w:lang w:eastAsia="en-US"/>
                    </w:rPr>
                  </w:pPr>
                  <w:r w:rsidRPr="00415A84">
                    <w:rPr>
                      <w:rFonts w:eastAsia="Calibri"/>
                      <w:sz w:val="20"/>
                      <w:szCs w:val="20"/>
                      <w:lang w:eastAsia="en-US"/>
                    </w:rPr>
                    <w:t>5.     prevoza po kopnem pri nudenju storitev od vrat do vrat,</w:t>
                  </w:r>
                </w:p>
                <w:p w14:paraId="5C88D641" w14:textId="77777777" w:rsidR="002B3F22" w:rsidRPr="00415A84" w:rsidRDefault="002B3F22" w:rsidP="002B3F22">
                  <w:pPr>
                    <w:pStyle w:val="tevilnatoka1"/>
                    <w:rPr>
                      <w:rFonts w:eastAsia="Calibri"/>
                      <w:sz w:val="20"/>
                      <w:szCs w:val="20"/>
                      <w:lang w:eastAsia="en-US"/>
                    </w:rPr>
                  </w:pPr>
                  <w:r w:rsidRPr="00415A84">
                    <w:rPr>
                      <w:rFonts w:eastAsia="Calibri"/>
                      <w:sz w:val="20"/>
                      <w:szCs w:val="20"/>
                      <w:lang w:eastAsia="en-US"/>
                    </w:rPr>
                    <w:t>6.     prodaje pogonskega goriva ob predaji ladje v najem,</w:t>
                  </w:r>
                </w:p>
                <w:p w14:paraId="089053A8" w14:textId="77777777" w:rsidR="002B3F22" w:rsidRPr="00415A84" w:rsidRDefault="002B3F22" w:rsidP="002B3F22">
                  <w:pPr>
                    <w:pStyle w:val="tevilnatoka1"/>
                    <w:rPr>
                      <w:rFonts w:eastAsia="Calibri"/>
                      <w:sz w:val="20"/>
                      <w:szCs w:val="20"/>
                      <w:lang w:eastAsia="en-US"/>
                    </w:rPr>
                  </w:pPr>
                  <w:r w:rsidRPr="00415A84">
                    <w:rPr>
                      <w:rFonts w:eastAsia="Calibri"/>
                      <w:sz w:val="20"/>
                      <w:szCs w:val="20"/>
                      <w:lang w:eastAsia="en-US"/>
                    </w:rPr>
                    <w:t>7.     čiščenja ladijskih skladišč,</w:t>
                  </w:r>
                </w:p>
                <w:p w14:paraId="23E617EB" w14:textId="77777777" w:rsidR="002B3F22" w:rsidRPr="00415A84" w:rsidRDefault="002B3F22" w:rsidP="002B3F22">
                  <w:pPr>
                    <w:pStyle w:val="tevilnatoka1"/>
                    <w:rPr>
                      <w:rFonts w:eastAsia="Calibri"/>
                      <w:sz w:val="20"/>
                      <w:szCs w:val="20"/>
                      <w:lang w:eastAsia="en-US"/>
                    </w:rPr>
                  </w:pPr>
                  <w:r w:rsidRPr="00415A84">
                    <w:rPr>
                      <w:rFonts w:eastAsia="Calibri"/>
                      <w:sz w:val="20"/>
                      <w:szCs w:val="20"/>
                      <w:lang w:eastAsia="en-US"/>
                    </w:rPr>
                    <w:t>8.     prodaje drugega blaga in storitev, ki jih posadka porabi na ladji,</w:t>
                  </w:r>
                </w:p>
                <w:p w14:paraId="4D305B93" w14:textId="77777777" w:rsidR="002B3F22" w:rsidRPr="00415A84" w:rsidRDefault="002B3F22" w:rsidP="002B3F22">
                  <w:pPr>
                    <w:pStyle w:val="tevilnatoka1"/>
                    <w:rPr>
                      <w:rFonts w:eastAsia="Calibri"/>
                      <w:sz w:val="20"/>
                      <w:szCs w:val="20"/>
                      <w:lang w:eastAsia="en-US"/>
                    </w:rPr>
                  </w:pPr>
                  <w:r w:rsidRPr="00415A84">
                    <w:rPr>
                      <w:rFonts w:eastAsia="Calibri"/>
                      <w:sz w:val="20"/>
                      <w:szCs w:val="20"/>
                      <w:lang w:eastAsia="en-US"/>
                    </w:rPr>
                    <w:t>9.     storitev tehničnega upravljanja in vodenja posadke ladij,</w:t>
                  </w:r>
                </w:p>
                <w:p w14:paraId="53360200" w14:textId="77777777" w:rsidR="002B3F22" w:rsidRPr="00415A84" w:rsidRDefault="002B3F22" w:rsidP="002B3F22">
                  <w:pPr>
                    <w:pStyle w:val="tevilnatoka1"/>
                    <w:rPr>
                      <w:rFonts w:eastAsia="Calibri"/>
                      <w:sz w:val="20"/>
                      <w:szCs w:val="20"/>
                      <w:lang w:eastAsia="en-US"/>
                    </w:rPr>
                  </w:pPr>
                  <w:r w:rsidRPr="00415A84">
                    <w:rPr>
                      <w:rFonts w:eastAsia="Calibri"/>
                      <w:sz w:val="20"/>
                      <w:szCs w:val="20"/>
                      <w:lang w:eastAsia="en-US"/>
                    </w:rPr>
                    <w:t>10.  odškodnin, prejetih od zavarovalnic za poškodovane ali izgubljene ladje ter izgubo najemnin ali voznin,</w:t>
                  </w:r>
                </w:p>
                <w:p w14:paraId="59F78D8B" w14:textId="77777777" w:rsidR="002B3F22" w:rsidRPr="00415A84" w:rsidRDefault="002B3F22" w:rsidP="002B3F22">
                  <w:pPr>
                    <w:pStyle w:val="tevilnatoka1"/>
                    <w:rPr>
                      <w:rFonts w:eastAsia="Calibri"/>
                      <w:sz w:val="20"/>
                      <w:szCs w:val="20"/>
                      <w:lang w:eastAsia="en-US"/>
                    </w:rPr>
                  </w:pPr>
                  <w:r w:rsidRPr="00415A84">
                    <w:rPr>
                      <w:rFonts w:eastAsia="Calibri"/>
                      <w:sz w:val="20"/>
                      <w:szCs w:val="20"/>
                      <w:lang w:eastAsia="en-US"/>
                    </w:rPr>
                    <w:t>11.  prodaje kontejnerjev,</w:t>
                  </w:r>
                </w:p>
                <w:p w14:paraId="08FDFBA5" w14:textId="77777777" w:rsidR="002B3F22" w:rsidRPr="00415A84" w:rsidRDefault="002B3F22" w:rsidP="002B3F22">
                  <w:pPr>
                    <w:pStyle w:val="tevilnatoka1"/>
                    <w:rPr>
                      <w:rFonts w:eastAsia="Calibri"/>
                      <w:sz w:val="20"/>
                      <w:szCs w:val="20"/>
                      <w:lang w:eastAsia="en-US"/>
                    </w:rPr>
                  </w:pPr>
                  <w:r w:rsidRPr="00415A84">
                    <w:rPr>
                      <w:rFonts w:eastAsia="Calibri"/>
                      <w:sz w:val="20"/>
                      <w:szCs w:val="20"/>
                      <w:lang w:eastAsia="en-US"/>
                    </w:rPr>
                    <w:t>12.  pozitivne tečajne razlike pri naštetih aktivnostih,</w:t>
                  </w:r>
                </w:p>
                <w:p w14:paraId="12AB9CDF" w14:textId="77777777" w:rsidR="002B3F22" w:rsidRPr="00415A84" w:rsidRDefault="002B3F22" w:rsidP="002B3F22">
                  <w:pPr>
                    <w:pStyle w:val="tevilnatoka1"/>
                    <w:rPr>
                      <w:rFonts w:eastAsia="Calibri"/>
                      <w:sz w:val="20"/>
                      <w:szCs w:val="20"/>
                      <w:lang w:eastAsia="en-US"/>
                    </w:rPr>
                  </w:pPr>
                  <w:r w:rsidRPr="00415A84">
                    <w:rPr>
                      <w:rFonts w:eastAsia="Calibri"/>
                      <w:sz w:val="20"/>
                      <w:szCs w:val="20"/>
                      <w:lang w:eastAsia="en-US"/>
                    </w:rPr>
                    <w:t xml:space="preserve">13.  od </w:t>
                  </w:r>
                  <w:proofErr w:type="spellStart"/>
                  <w:r w:rsidRPr="00415A84">
                    <w:rPr>
                      <w:rFonts w:eastAsia="Calibri"/>
                      <w:sz w:val="20"/>
                      <w:szCs w:val="20"/>
                      <w:lang w:eastAsia="en-US"/>
                    </w:rPr>
                    <w:t>pozicioniranj</w:t>
                  </w:r>
                  <w:proofErr w:type="spellEnd"/>
                  <w:r w:rsidRPr="00415A84">
                    <w:rPr>
                      <w:rFonts w:eastAsia="Calibri"/>
                      <w:sz w:val="20"/>
                      <w:szCs w:val="20"/>
                      <w:lang w:eastAsia="en-US"/>
                    </w:rPr>
                    <w:t xml:space="preserve"> ladij in</w:t>
                  </w:r>
                </w:p>
                <w:p w14:paraId="5CADC5C4" w14:textId="77777777" w:rsidR="002B3F22" w:rsidRPr="00415A84" w:rsidRDefault="002B3F22" w:rsidP="002B3F22">
                  <w:pPr>
                    <w:pStyle w:val="tevilnatoka1"/>
                    <w:rPr>
                      <w:rFonts w:eastAsia="Calibri"/>
                      <w:sz w:val="20"/>
                      <w:szCs w:val="20"/>
                      <w:lang w:eastAsia="en-US"/>
                    </w:rPr>
                  </w:pPr>
                  <w:r w:rsidRPr="00415A84">
                    <w:rPr>
                      <w:rFonts w:eastAsia="Calibri"/>
                      <w:sz w:val="20"/>
                      <w:szCs w:val="20"/>
                      <w:lang w:eastAsia="en-US"/>
                    </w:rPr>
                    <w:t>14.  drugih dejavnosti, ki so nujno potrebne za opravljanje pomorskega prevoza blaga in potnikov.</w:t>
                  </w:r>
                </w:p>
                <w:p w14:paraId="1188D73C" w14:textId="77777777" w:rsidR="002B3F22" w:rsidRPr="00415A84" w:rsidRDefault="002B3F22" w:rsidP="002B3F22">
                  <w:pPr>
                    <w:pStyle w:val="odstavek1"/>
                    <w:rPr>
                      <w:rFonts w:eastAsia="Calibri"/>
                      <w:sz w:val="20"/>
                      <w:szCs w:val="20"/>
                      <w:lang w:eastAsia="en-US"/>
                    </w:rPr>
                  </w:pPr>
                  <w:r w:rsidRPr="00415A84">
                    <w:rPr>
                      <w:rFonts w:eastAsia="Calibri"/>
                      <w:sz w:val="20"/>
                      <w:szCs w:val="20"/>
                      <w:lang w:eastAsia="en-US"/>
                    </w:rPr>
                    <w:t>(3) Ladjarska družba iz četrte točke prvega odstavka pomeni gospodarsko družbo:</w:t>
                  </w:r>
                </w:p>
                <w:p w14:paraId="49B5C2E8" w14:textId="77777777" w:rsidR="002B3F22" w:rsidRPr="00415A84" w:rsidRDefault="002B3F22" w:rsidP="002B3F22">
                  <w:pPr>
                    <w:pStyle w:val="tevilnatoka1"/>
                    <w:rPr>
                      <w:rFonts w:eastAsia="Calibri"/>
                      <w:sz w:val="20"/>
                      <w:szCs w:val="20"/>
                      <w:lang w:eastAsia="en-US"/>
                    </w:rPr>
                  </w:pPr>
                  <w:r w:rsidRPr="00415A84">
                    <w:rPr>
                      <w:rFonts w:eastAsia="Calibri"/>
                      <w:sz w:val="20"/>
                      <w:szCs w:val="20"/>
                      <w:lang w:eastAsia="en-US"/>
                    </w:rPr>
                    <w:t>1.     v kateri ima zavezanec najmanj 50% glasovalnih pravic,</w:t>
                  </w:r>
                </w:p>
                <w:p w14:paraId="5D031B44" w14:textId="77777777" w:rsidR="002B3F22" w:rsidRPr="00415A84" w:rsidRDefault="002B3F22" w:rsidP="002B3F22">
                  <w:pPr>
                    <w:pStyle w:val="tevilnatoka1"/>
                    <w:rPr>
                      <w:rFonts w:eastAsia="Calibri"/>
                      <w:sz w:val="20"/>
                      <w:szCs w:val="20"/>
                      <w:lang w:eastAsia="en-US"/>
                    </w:rPr>
                  </w:pPr>
                  <w:r w:rsidRPr="00415A84">
                    <w:rPr>
                      <w:rFonts w:eastAsia="Calibri"/>
                      <w:sz w:val="20"/>
                      <w:szCs w:val="20"/>
                      <w:lang w:eastAsia="en-US"/>
                    </w:rPr>
                    <w:t>2.     izpolnjuje pogoje za pristop k sistemu davka na tonažo iz 8. člena tega zakona in</w:t>
                  </w:r>
                </w:p>
                <w:p w14:paraId="5B39E980" w14:textId="77777777" w:rsidR="002B3F22" w:rsidRPr="00415A84" w:rsidRDefault="002B3F22" w:rsidP="002B3F22">
                  <w:pPr>
                    <w:pStyle w:val="tevilnatoka1"/>
                    <w:rPr>
                      <w:rFonts w:eastAsia="Calibri"/>
                      <w:sz w:val="20"/>
                      <w:szCs w:val="20"/>
                      <w:lang w:eastAsia="en-US"/>
                    </w:rPr>
                  </w:pPr>
                  <w:r w:rsidRPr="00415A84">
                    <w:rPr>
                      <w:rFonts w:eastAsia="Calibri"/>
                      <w:sz w:val="20"/>
                      <w:szCs w:val="20"/>
                      <w:lang w:eastAsia="en-US"/>
                    </w:rPr>
                    <w:t>3.     pri kateri dohodki iz prvega odstavka tega člena znašajo najmanj 99,75% vseh dohodkov te družbe.</w:t>
                  </w:r>
                </w:p>
                <w:p w14:paraId="57BFBF9F" w14:textId="77777777" w:rsidR="002B3F22" w:rsidRPr="00415A84" w:rsidRDefault="002B3F22" w:rsidP="002B3F22">
                  <w:pPr>
                    <w:pStyle w:val="odstavek1"/>
                    <w:rPr>
                      <w:rFonts w:eastAsia="Calibri"/>
                      <w:sz w:val="20"/>
                      <w:szCs w:val="20"/>
                      <w:lang w:eastAsia="en-US"/>
                    </w:rPr>
                  </w:pPr>
                  <w:r w:rsidRPr="00415A84">
                    <w:rPr>
                      <w:rFonts w:eastAsia="Calibri"/>
                      <w:sz w:val="20"/>
                      <w:szCs w:val="20"/>
                      <w:lang w:eastAsia="en-US"/>
                    </w:rPr>
                    <w:t>(4) Če zavezanec ne izpolni pogoja iz 3. točke prvega odstavka tega člena, mora v davčnem obračunu za davčno obdobje, v katerem se izteče petletno obdobje, te dohodke vključiti v davčno osnovo, ki jo ugotavlja po zakonu, ki ureja davek od dohodkov pravnih oseb.</w:t>
                  </w:r>
                </w:p>
                <w:p w14:paraId="7E986C7B" w14:textId="77777777" w:rsidR="00766741" w:rsidRPr="00415A84" w:rsidRDefault="00766741" w:rsidP="00766741">
                  <w:pPr>
                    <w:pStyle w:val="Poglavje"/>
                    <w:spacing w:before="0" w:after="0" w:line="260" w:lineRule="exact"/>
                    <w:jc w:val="left"/>
                    <w:rPr>
                      <w:rFonts w:eastAsia="Calibri"/>
                      <w:b w:val="0"/>
                      <w:sz w:val="20"/>
                      <w:szCs w:val="20"/>
                      <w:lang w:eastAsia="en-US"/>
                    </w:rPr>
                  </w:pPr>
                </w:p>
                <w:p w14:paraId="60B794BB" w14:textId="77777777" w:rsidR="005D2FD3" w:rsidRPr="00BD6AC8" w:rsidRDefault="005D2FD3" w:rsidP="005D2FD3">
                  <w:pPr>
                    <w:pStyle w:val="len1"/>
                    <w:rPr>
                      <w:rFonts w:eastAsia="Calibri"/>
                      <w:b w:val="0"/>
                      <w:bCs w:val="0"/>
                      <w:sz w:val="20"/>
                      <w:szCs w:val="20"/>
                      <w:lang w:eastAsia="en-US"/>
                    </w:rPr>
                  </w:pPr>
                  <w:r w:rsidRPr="00BD6AC8">
                    <w:rPr>
                      <w:rFonts w:eastAsia="Calibri"/>
                      <w:b w:val="0"/>
                      <w:bCs w:val="0"/>
                      <w:sz w:val="20"/>
                      <w:szCs w:val="20"/>
                      <w:lang w:eastAsia="en-US"/>
                    </w:rPr>
                    <w:t>9. člen</w:t>
                  </w:r>
                </w:p>
                <w:p w14:paraId="7DD1BEF8" w14:textId="77777777" w:rsidR="005D2FD3" w:rsidRPr="00BD6AC8" w:rsidRDefault="005D2FD3" w:rsidP="00BD6AC8">
                  <w:pPr>
                    <w:pStyle w:val="len1"/>
                    <w:spacing w:before="0"/>
                    <w:rPr>
                      <w:rFonts w:eastAsia="Calibri"/>
                      <w:b w:val="0"/>
                      <w:bCs w:val="0"/>
                      <w:sz w:val="20"/>
                      <w:szCs w:val="20"/>
                      <w:lang w:eastAsia="en-US"/>
                    </w:rPr>
                  </w:pPr>
                  <w:r w:rsidRPr="00BD6AC8">
                    <w:rPr>
                      <w:rFonts w:eastAsia="Calibri"/>
                      <w:b w:val="0"/>
                      <w:bCs w:val="0"/>
                      <w:sz w:val="20"/>
                      <w:szCs w:val="20"/>
                      <w:lang w:eastAsia="en-US"/>
                    </w:rPr>
                    <w:t>(pogoji glede ladje)</w:t>
                  </w:r>
                </w:p>
                <w:p w14:paraId="729825A7" w14:textId="77777777" w:rsidR="005D2FD3" w:rsidRPr="00BD6AC8" w:rsidRDefault="005D2FD3" w:rsidP="005D2FD3">
                  <w:pPr>
                    <w:pStyle w:val="odstavek1"/>
                    <w:rPr>
                      <w:rFonts w:eastAsia="Calibri"/>
                      <w:sz w:val="20"/>
                      <w:szCs w:val="20"/>
                      <w:lang w:eastAsia="en-US"/>
                    </w:rPr>
                  </w:pPr>
                  <w:r w:rsidRPr="00BD6AC8">
                    <w:rPr>
                      <w:rFonts w:eastAsia="Calibri"/>
                      <w:sz w:val="20"/>
                      <w:szCs w:val="20"/>
                      <w:lang w:eastAsia="en-US"/>
                    </w:rPr>
                    <w:t>(1) Ladja iz 2. točke 8. člena tega zakona je vsaka ladja, ki je morsko plovilo, z bruto tonažo 100 ali več, če:</w:t>
                  </w:r>
                </w:p>
                <w:p w14:paraId="51E977B8" w14:textId="77777777" w:rsidR="005D2FD3" w:rsidRPr="00BD6AC8" w:rsidRDefault="005D2FD3" w:rsidP="005D2FD3">
                  <w:pPr>
                    <w:pStyle w:val="tevilnatoka1"/>
                    <w:rPr>
                      <w:rFonts w:eastAsia="Calibri"/>
                      <w:sz w:val="20"/>
                      <w:szCs w:val="20"/>
                      <w:lang w:eastAsia="en-US"/>
                    </w:rPr>
                  </w:pPr>
                  <w:r w:rsidRPr="00BD6AC8">
                    <w:rPr>
                      <w:rFonts w:eastAsia="Calibri"/>
                      <w:sz w:val="20"/>
                      <w:szCs w:val="20"/>
                      <w:lang w:eastAsia="en-US"/>
                    </w:rPr>
                    <w:t>1.     ima veljavna spričevala po Mednarodni konvenciji o tovornih črtah ali Mednarodni konvenciji o varstvu človeškega življenja na morju, ki jih je izdala država zastave, in</w:t>
                  </w:r>
                </w:p>
                <w:p w14:paraId="04A2B805" w14:textId="77777777" w:rsidR="005D2FD3" w:rsidRPr="00BD6AC8" w:rsidRDefault="005D2FD3" w:rsidP="005D2FD3">
                  <w:pPr>
                    <w:pStyle w:val="tevilnatoka1"/>
                    <w:rPr>
                      <w:rFonts w:eastAsia="Calibri"/>
                      <w:sz w:val="20"/>
                      <w:szCs w:val="20"/>
                      <w:lang w:eastAsia="en-US"/>
                    </w:rPr>
                  </w:pPr>
                  <w:r w:rsidRPr="00BD6AC8">
                    <w:rPr>
                      <w:rFonts w:eastAsia="Calibri"/>
                      <w:sz w:val="20"/>
                      <w:szCs w:val="20"/>
                      <w:lang w:eastAsia="en-US"/>
                    </w:rPr>
                    <w:t>2.     je namenjena prevozu potnikov ali blaga po morju, za vleko ali pomoč na morju.</w:t>
                  </w:r>
                </w:p>
                <w:p w14:paraId="717A5A0D" w14:textId="77777777" w:rsidR="005D2FD3" w:rsidRPr="00BD6AC8" w:rsidRDefault="005D2FD3" w:rsidP="005D2FD3">
                  <w:pPr>
                    <w:pStyle w:val="odstavek1"/>
                    <w:rPr>
                      <w:rFonts w:eastAsia="Calibri"/>
                      <w:sz w:val="20"/>
                      <w:szCs w:val="20"/>
                      <w:lang w:eastAsia="en-US"/>
                    </w:rPr>
                  </w:pPr>
                  <w:r w:rsidRPr="00BD6AC8">
                    <w:rPr>
                      <w:rFonts w:eastAsia="Calibri"/>
                      <w:sz w:val="20"/>
                      <w:szCs w:val="20"/>
                      <w:lang w:eastAsia="en-US"/>
                    </w:rPr>
                    <w:t>(2) Ladja, namenjena prevozu potnikov ali blaga po morju je lahko vključena v sistem davka na tonažo, ne glede na zastavo, če ni v 10. členu tega zakona določeno drugače.</w:t>
                  </w:r>
                </w:p>
                <w:p w14:paraId="7DDD9470" w14:textId="77777777" w:rsidR="005D2FD3" w:rsidRPr="00BD6AC8" w:rsidRDefault="005D2FD3" w:rsidP="005D2FD3">
                  <w:pPr>
                    <w:pStyle w:val="odstavek1"/>
                    <w:rPr>
                      <w:rFonts w:eastAsia="Calibri"/>
                      <w:sz w:val="20"/>
                      <w:szCs w:val="20"/>
                      <w:lang w:eastAsia="en-US"/>
                    </w:rPr>
                  </w:pPr>
                  <w:r w:rsidRPr="00BD6AC8">
                    <w:rPr>
                      <w:rFonts w:eastAsia="Calibri"/>
                      <w:sz w:val="20"/>
                      <w:szCs w:val="20"/>
                      <w:lang w:eastAsia="en-US"/>
                    </w:rPr>
                    <w:t>(3) Ladja za vleko ali pomoč na morju je lahko vključena v sistem davka na tonažo, če:</w:t>
                  </w:r>
                </w:p>
                <w:p w14:paraId="3894864C" w14:textId="77777777" w:rsidR="005D2FD3" w:rsidRPr="00BD6AC8" w:rsidRDefault="005D2FD3" w:rsidP="005D2FD3">
                  <w:pPr>
                    <w:pStyle w:val="tevilnatoka1"/>
                    <w:rPr>
                      <w:rFonts w:eastAsia="Calibri"/>
                      <w:sz w:val="20"/>
                      <w:szCs w:val="20"/>
                      <w:lang w:eastAsia="en-US"/>
                    </w:rPr>
                  </w:pPr>
                  <w:r w:rsidRPr="00BD6AC8">
                    <w:rPr>
                      <w:rFonts w:eastAsia="Calibri"/>
                      <w:sz w:val="20"/>
                      <w:szCs w:val="20"/>
                      <w:lang w:eastAsia="en-US"/>
                    </w:rPr>
                    <w:lastRenderedPageBreak/>
                    <w:t>1.     pluje pod zastavo Republike Slovenije ali zastavo druge države članice Evropske unije (v nadaljnjem besedilu: države članice) in</w:t>
                  </w:r>
                </w:p>
                <w:p w14:paraId="34F0E3F5" w14:textId="77777777" w:rsidR="005D2FD3" w:rsidRPr="00BD6AC8" w:rsidRDefault="005D2FD3" w:rsidP="005D2FD3">
                  <w:pPr>
                    <w:pStyle w:val="tevilnatoka1"/>
                    <w:rPr>
                      <w:rFonts w:eastAsia="Calibri"/>
                      <w:sz w:val="20"/>
                      <w:szCs w:val="20"/>
                      <w:lang w:eastAsia="en-US"/>
                    </w:rPr>
                  </w:pPr>
                  <w:r w:rsidRPr="00BD6AC8">
                    <w:rPr>
                      <w:rFonts w:eastAsia="Calibri"/>
                      <w:sz w:val="20"/>
                      <w:szCs w:val="20"/>
                      <w:lang w:eastAsia="en-US"/>
                    </w:rPr>
                    <w:t>2.     najmanj polovico operativnega časa opravlja storitve izven območja pristanišča, pri čemer je operativni čas časovno obdobje v davčnem obdobju, ko je zavezanec posloval s to ladjo in je ladja dejansko opravljala vleko ali pomoč na morju.</w:t>
                  </w:r>
                </w:p>
                <w:p w14:paraId="1865F962" w14:textId="77777777" w:rsidR="005D2FD3" w:rsidRPr="00BD6AC8" w:rsidRDefault="005D2FD3" w:rsidP="005D2FD3">
                  <w:pPr>
                    <w:pStyle w:val="odstavek1"/>
                    <w:rPr>
                      <w:rFonts w:eastAsia="Calibri"/>
                      <w:sz w:val="20"/>
                      <w:szCs w:val="20"/>
                      <w:lang w:eastAsia="en-US"/>
                    </w:rPr>
                  </w:pPr>
                  <w:r w:rsidRPr="00BD6AC8">
                    <w:rPr>
                      <w:rFonts w:eastAsia="Calibri"/>
                      <w:sz w:val="20"/>
                      <w:szCs w:val="20"/>
                      <w:lang w:eastAsia="en-US"/>
                    </w:rPr>
                    <w:t>(4) V sistem davka na tonažo ne morejo biti vključene ladje, ki ne plujejo v mednarodni plovbi, in ladje, ki se uporabljajo za:</w:t>
                  </w:r>
                </w:p>
                <w:p w14:paraId="1B1CF41A" w14:textId="77777777" w:rsidR="005D2FD3" w:rsidRPr="00BD6AC8" w:rsidRDefault="005D2FD3" w:rsidP="005D2FD3">
                  <w:pPr>
                    <w:pStyle w:val="alineazaodstavkom1"/>
                    <w:rPr>
                      <w:rFonts w:eastAsia="Calibri"/>
                      <w:sz w:val="20"/>
                      <w:szCs w:val="20"/>
                      <w:lang w:eastAsia="en-US"/>
                    </w:rPr>
                  </w:pPr>
                  <w:r w:rsidRPr="00BD6AC8">
                    <w:rPr>
                      <w:rFonts w:eastAsia="Calibri"/>
                      <w:sz w:val="20"/>
                      <w:szCs w:val="20"/>
                      <w:lang w:eastAsia="en-US"/>
                    </w:rPr>
                    <w:t>-       vojaške namene,</w:t>
                  </w:r>
                </w:p>
                <w:p w14:paraId="40CD5892" w14:textId="77777777" w:rsidR="005D2FD3" w:rsidRPr="00BD6AC8" w:rsidRDefault="005D2FD3" w:rsidP="005D2FD3">
                  <w:pPr>
                    <w:pStyle w:val="alineazaodstavkom1"/>
                    <w:rPr>
                      <w:rFonts w:eastAsia="Calibri"/>
                      <w:sz w:val="20"/>
                      <w:szCs w:val="20"/>
                      <w:lang w:eastAsia="en-US"/>
                    </w:rPr>
                  </w:pPr>
                  <w:r w:rsidRPr="00BD6AC8">
                    <w:rPr>
                      <w:rFonts w:eastAsia="Calibri"/>
                      <w:sz w:val="20"/>
                      <w:szCs w:val="20"/>
                      <w:lang w:eastAsia="en-US"/>
                    </w:rPr>
                    <w:t>-       ribiške namene,</w:t>
                  </w:r>
                </w:p>
                <w:p w14:paraId="20CBABB0" w14:textId="77777777" w:rsidR="005D2FD3" w:rsidRPr="00BD6AC8" w:rsidRDefault="005D2FD3" w:rsidP="005D2FD3">
                  <w:pPr>
                    <w:pStyle w:val="alineazaodstavkom1"/>
                    <w:rPr>
                      <w:rFonts w:eastAsia="Calibri"/>
                      <w:sz w:val="20"/>
                      <w:szCs w:val="20"/>
                      <w:lang w:eastAsia="en-US"/>
                    </w:rPr>
                  </w:pPr>
                  <w:r w:rsidRPr="00BD6AC8">
                    <w:rPr>
                      <w:rFonts w:eastAsia="Calibri"/>
                      <w:sz w:val="20"/>
                      <w:szCs w:val="20"/>
                      <w:lang w:eastAsia="en-US"/>
                    </w:rPr>
                    <w:t>-       gostinske namene (plavajoči hoteli ali restavracije),</w:t>
                  </w:r>
                </w:p>
                <w:p w14:paraId="40863FD3" w14:textId="77777777" w:rsidR="005D2FD3" w:rsidRPr="00BD6AC8" w:rsidRDefault="005D2FD3" w:rsidP="005D2FD3">
                  <w:pPr>
                    <w:pStyle w:val="alineazaodstavkom1"/>
                    <w:rPr>
                      <w:rFonts w:eastAsia="Calibri"/>
                      <w:sz w:val="20"/>
                      <w:szCs w:val="20"/>
                      <w:lang w:eastAsia="en-US"/>
                    </w:rPr>
                  </w:pPr>
                  <w:r w:rsidRPr="00BD6AC8">
                    <w:rPr>
                      <w:rFonts w:eastAsia="Calibri"/>
                      <w:sz w:val="20"/>
                      <w:szCs w:val="20"/>
                      <w:lang w:eastAsia="en-US"/>
                    </w:rPr>
                    <w:t>-       igralniške namene (plavajoče igralnice),</w:t>
                  </w:r>
                </w:p>
                <w:p w14:paraId="794B6707" w14:textId="77777777" w:rsidR="005D2FD3" w:rsidRPr="00BD6AC8" w:rsidRDefault="005D2FD3" w:rsidP="005D2FD3">
                  <w:pPr>
                    <w:pStyle w:val="alineazaodstavkom1"/>
                    <w:rPr>
                      <w:rFonts w:eastAsia="Calibri"/>
                      <w:sz w:val="20"/>
                      <w:szCs w:val="20"/>
                      <w:lang w:eastAsia="en-US"/>
                    </w:rPr>
                  </w:pPr>
                  <w:r w:rsidRPr="00BD6AC8">
                    <w:rPr>
                      <w:rFonts w:eastAsia="Calibri"/>
                      <w:sz w:val="20"/>
                      <w:szCs w:val="20"/>
                      <w:lang w:eastAsia="en-US"/>
                    </w:rPr>
                    <w:t>-       telekomunikacijske namene,</w:t>
                  </w:r>
                </w:p>
                <w:p w14:paraId="5CBC6E87" w14:textId="77777777" w:rsidR="005D2FD3" w:rsidRPr="00BD6AC8" w:rsidRDefault="005D2FD3" w:rsidP="005D2FD3">
                  <w:pPr>
                    <w:pStyle w:val="alineazaodstavkom1"/>
                    <w:rPr>
                      <w:rFonts w:eastAsia="Calibri"/>
                      <w:sz w:val="20"/>
                      <w:szCs w:val="20"/>
                      <w:lang w:eastAsia="en-US"/>
                    </w:rPr>
                  </w:pPr>
                  <w:r w:rsidRPr="00BD6AC8">
                    <w:rPr>
                      <w:rFonts w:eastAsia="Calibri"/>
                      <w:sz w:val="20"/>
                      <w:szCs w:val="20"/>
                      <w:lang w:eastAsia="en-US"/>
                    </w:rPr>
                    <w:t>-       raziskovalne namene,</w:t>
                  </w:r>
                </w:p>
                <w:p w14:paraId="43E91BF7" w14:textId="77777777" w:rsidR="005D2FD3" w:rsidRPr="00BD6AC8" w:rsidRDefault="005D2FD3" w:rsidP="005D2FD3">
                  <w:pPr>
                    <w:pStyle w:val="alineazaodstavkom1"/>
                    <w:rPr>
                      <w:rFonts w:eastAsia="Calibri"/>
                      <w:sz w:val="20"/>
                      <w:szCs w:val="20"/>
                      <w:lang w:eastAsia="en-US"/>
                    </w:rPr>
                  </w:pPr>
                  <w:r w:rsidRPr="00BD6AC8">
                    <w:rPr>
                      <w:rFonts w:eastAsia="Calibri"/>
                      <w:sz w:val="20"/>
                      <w:szCs w:val="20"/>
                      <w:lang w:eastAsia="en-US"/>
                    </w:rPr>
                    <w:t>-       rekreativno-športne namene,</w:t>
                  </w:r>
                </w:p>
                <w:p w14:paraId="60E2B449" w14:textId="77777777" w:rsidR="005D2FD3" w:rsidRPr="00BD6AC8" w:rsidRDefault="005D2FD3" w:rsidP="005D2FD3">
                  <w:pPr>
                    <w:pStyle w:val="alineazaodstavkom1"/>
                    <w:rPr>
                      <w:rFonts w:eastAsia="Calibri"/>
                      <w:sz w:val="20"/>
                      <w:szCs w:val="20"/>
                      <w:lang w:eastAsia="en-US"/>
                    </w:rPr>
                  </w:pPr>
                  <w:r w:rsidRPr="00BD6AC8">
                    <w:rPr>
                      <w:rFonts w:eastAsia="Calibri"/>
                      <w:sz w:val="20"/>
                      <w:szCs w:val="20"/>
                      <w:lang w:eastAsia="en-US"/>
                    </w:rPr>
                    <w:t>-       za poglabljanje morskega dna ter</w:t>
                  </w:r>
                </w:p>
                <w:p w14:paraId="6D6B9B4C" w14:textId="538E9911" w:rsidR="005D2FD3" w:rsidRPr="00BD6AC8" w:rsidRDefault="005D2FD3" w:rsidP="00BD6AC8">
                  <w:pPr>
                    <w:pStyle w:val="alineazaodstavkom1"/>
                    <w:rPr>
                      <w:rFonts w:eastAsia="Calibri"/>
                      <w:sz w:val="20"/>
                      <w:szCs w:val="20"/>
                      <w:lang w:eastAsia="en-US"/>
                    </w:rPr>
                  </w:pPr>
                  <w:r w:rsidRPr="00BD6AC8">
                    <w:rPr>
                      <w:rFonts w:eastAsia="Calibri"/>
                      <w:sz w:val="20"/>
                      <w:szCs w:val="20"/>
                      <w:lang w:eastAsia="en-US"/>
                    </w:rPr>
                    <w:t>-       ostale namene, ki se</w:t>
                  </w:r>
                  <w:r w:rsidR="00BD6AC8">
                    <w:rPr>
                      <w:rFonts w:eastAsia="Calibri"/>
                      <w:sz w:val="20"/>
                      <w:szCs w:val="20"/>
                      <w:lang w:eastAsia="en-US"/>
                    </w:rPr>
                    <w:t xml:space="preserve"> običajno opravljajo na kopnem.</w:t>
                  </w:r>
                </w:p>
                <w:p w14:paraId="082689AA" w14:textId="77777777" w:rsidR="002B3F22" w:rsidRPr="00415A84" w:rsidRDefault="002B3F22" w:rsidP="002B3F22">
                  <w:pPr>
                    <w:pStyle w:val="len1"/>
                    <w:rPr>
                      <w:rFonts w:eastAsia="Calibri"/>
                      <w:b w:val="0"/>
                      <w:bCs w:val="0"/>
                      <w:sz w:val="20"/>
                      <w:szCs w:val="20"/>
                      <w:lang w:eastAsia="en-US"/>
                    </w:rPr>
                  </w:pPr>
                  <w:r w:rsidRPr="00415A84">
                    <w:rPr>
                      <w:rFonts w:eastAsia="Calibri"/>
                      <w:b w:val="0"/>
                      <w:bCs w:val="0"/>
                      <w:sz w:val="20"/>
                      <w:szCs w:val="20"/>
                      <w:lang w:eastAsia="en-US"/>
                    </w:rPr>
                    <w:t>10. člen</w:t>
                  </w:r>
                </w:p>
                <w:p w14:paraId="497BEF89" w14:textId="77777777" w:rsidR="002B3F22" w:rsidRPr="00415A84" w:rsidRDefault="002B3F22" w:rsidP="002B3F22">
                  <w:pPr>
                    <w:pStyle w:val="lennaslov1"/>
                    <w:rPr>
                      <w:rFonts w:eastAsia="Calibri"/>
                      <w:b w:val="0"/>
                      <w:bCs w:val="0"/>
                      <w:sz w:val="20"/>
                      <w:szCs w:val="20"/>
                      <w:lang w:eastAsia="en-US"/>
                    </w:rPr>
                  </w:pPr>
                  <w:r w:rsidRPr="00415A84">
                    <w:rPr>
                      <w:rFonts w:eastAsia="Calibri"/>
                      <w:b w:val="0"/>
                      <w:bCs w:val="0"/>
                      <w:sz w:val="20"/>
                      <w:szCs w:val="20"/>
                      <w:lang w:eastAsia="en-US"/>
                    </w:rPr>
                    <w:t>(zahteva glede zastave ladje)</w:t>
                  </w:r>
                </w:p>
                <w:p w14:paraId="32A13E20" w14:textId="77777777" w:rsidR="002B3F22" w:rsidRPr="00415A84" w:rsidRDefault="002B3F22" w:rsidP="002B3F22">
                  <w:pPr>
                    <w:pStyle w:val="odstavek1"/>
                    <w:rPr>
                      <w:rFonts w:eastAsia="Calibri"/>
                      <w:sz w:val="20"/>
                      <w:szCs w:val="20"/>
                      <w:lang w:eastAsia="en-US"/>
                    </w:rPr>
                  </w:pPr>
                  <w:r w:rsidRPr="00415A84">
                    <w:rPr>
                      <w:rFonts w:eastAsia="Calibri"/>
                      <w:sz w:val="20"/>
                      <w:szCs w:val="20"/>
                      <w:lang w:eastAsia="en-US"/>
                    </w:rPr>
                    <w:t>(1) Zavezanec za davek na tonažo mora v desetletnem obdobju povečati ali vsaj obdržati delež skupne tonaže ladij pod zastavo Republike Slovenije ali druge države članice, s katerimi je posloval na dan pristopa k sistemu davka na tonažo in jih je vključil v sistem davka na tonažo. Ta določba ne velja za zavezance, ki poslujejo z ladjami, katerih delež skupne tonaže ladij pod zastavo Republike Slovenije ali države članice znaša najmanj 60% skupne tonaže vseh ladij, s katerimi poslujejo in so vključene v sistem davka na tonažo.</w:t>
                  </w:r>
                </w:p>
                <w:p w14:paraId="6ED925EB" w14:textId="77777777" w:rsidR="002B3F22" w:rsidRPr="00415A84" w:rsidRDefault="002B3F22" w:rsidP="002B3F22">
                  <w:pPr>
                    <w:pStyle w:val="odstavek1"/>
                    <w:rPr>
                      <w:rFonts w:eastAsia="Calibri"/>
                      <w:sz w:val="20"/>
                      <w:szCs w:val="20"/>
                      <w:lang w:eastAsia="en-US"/>
                    </w:rPr>
                  </w:pPr>
                  <w:r w:rsidRPr="00415A84">
                    <w:rPr>
                      <w:rFonts w:eastAsia="Calibri"/>
                      <w:sz w:val="20"/>
                      <w:szCs w:val="20"/>
                      <w:lang w:eastAsia="en-US"/>
                    </w:rPr>
                    <w:t>(2) Pri računanju deleža iz prejšnjega odstavka se pri povezanih družbah upošteva vsota skupnih tonaž ladij iz prejšnjega odstavka vsake od povezanih družb, pri čemer se tonaža iste ladje v to vsoto šteje samo enkrat.</w:t>
                  </w:r>
                </w:p>
                <w:p w14:paraId="1B908F7A" w14:textId="77777777" w:rsidR="002B3F22" w:rsidRPr="00415A84" w:rsidRDefault="002B3F22" w:rsidP="002B3F22">
                  <w:pPr>
                    <w:pStyle w:val="odstavek1"/>
                    <w:rPr>
                      <w:rFonts w:eastAsia="Calibri"/>
                      <w:sz w:val="20"/>
                      <w:szCs w:val="20"/>
                      <w:lang w:eastAsia="en-US"/>
                    </w:rPr>
                  </w:pPr>
                  <w:r w:rsidRPr="00415A84">
                    <w:rPr>
                      <w:rFonts w:eastAsia="Calibri"/>
                      <w:sz w:val="20"/>
                      <w:szCs w:val="20"/>
                      <w:lang w:eastAsia="en-US"/>
                    </w:rPr>
                    <w:t>(3) Če zavezanec na dan pridobitve ladje ne izpolnjuje zahteve iz prvega odstavka tega člena, je ne more vključiti v sistem davka na tonažo, razen če ta pluje pod zastavo Republike Slovenije ali države članice EU. Ta določba ne velja za najem, zakup ali nakup ladje med povezanimi družbami, ki so vključene v sistem davka na tonažo.</w:t>
                  </w:r>
                </w:p>
                <w:p w14:paraId="13DCEC67" w14:textId="77777777" w:rsidR="002B3F22" w:rsidRPr="00415A84" w:rsidRDefault="002B3F22" w:rsidP="002B3F22">
                  <w:pPr>
                    <w:pStyle w:val="odstavek1"/>
                    <w:rPr>
                      <w:rFonts w:eastAsia="Calibri"/>
                      <w:sz w:val="20"/>
                      <w:szCs w:val="20"/>
                      <w:lang w:eastAsia="en-US"/>
                    </w:rPr>
                  </w:pPr>
                  <w:r w:rsidRPr="00415A84">
                    <w:rPr>
                      <w:rFonts w:eastAsia="Calibri"/>
                      <w:sz w:val="20"/>
                      <w:szCs w:val="20"/>
                      <w:lang w:eastAsia="en-US"/>
                    </w:rPr>
                    <w:t>(4) Če se delež skupne tonaže vseh ladij, ki so vključene v sistem davka na tonažo po tem zakonu in plujejo pod zastavo Republike Slovenije ali države članice, s katerimi poslujejo zavezanci, v zadnjem triletnem obdobju ni zmanjšal, lahko Vlada Republike Slovenije dovoli, da zavezanci vključijo nove ladje v sistem davka na tonažo, ne glede na zahteve iz prejšnjega odstavka.</w:t>
                  </w:r>
                </w:p>
                <w:p w14:paraId="1D65DDEC" w14:textId="77777777" w:rsidR="002B3F22" w:rsidRPr="00415A84" w:rsidRDefault="002B3F22" w:rsidP="002B3F22">
                  <w:pPr>
                    <w:pStyle w:val="odstavek1"/>
                    <w:rPr>
                      <w:rFonts w:eastAsia="Calibri"/>
                      <w:sz w:val="20"/>
                      <w:szCs w:val="20"/>
                      <w:lang w:eastAsia="en-US"/>
                    </w:rPr>
                  </w:pPr>
                  <w:r w:rsidRPr="00415A84">
                    <w:rPr>
                      <w:rFonts w:eastAsia="Calibri"/>
                      <w:sz w:val="20"/>
                      <w:szCs w:val="20"/>
                      <w:lang w:eastAsia="en-US"/>
                    </w:rPr>
                    <w:t>(5) Prvo triletno obdobje iz prejšnjega odstavka začne teči z dnem začetka uporabe tega zakona.</w:t>
                  </w:r>
                </w:p>
                <w:p w14:paraId="6052CE81" w14:textId="77777777" w:rsidR="002B3F22" w:rsidRPr="00415A84" w:rsidRDefault="002B3F22" w:rsidP="00766741">
                  <w:pPr>
                    <w:pStyle w:val="Poglavje"/>
                    <w:spacing w:before="0" w:after="0" w:line="260" w:lineRule="exact"/>
                    <w:jc w:val="left"/>
                    <w:rPr>
                      <w:rFonts w:eastAsia="Calibri"/>
                      <w:b w:val="0"/>
                      <w:sz w:val="20"/>
                      <w:szCs w:val="20"/>
                      <w:lang w:eastAsia="en-US"/>
                    </w:rPr>
                  </w:pPr>
                </w:p>
                <w:p w14:paraId="1275966F" w14:textId="77777777" w:rsidR="002B3F22" w:rsidRPr="00415A84" w:rsidRDefault="002B3F22" w:rsidP="002B3F22">
                  <w:pPr>
                    <w:pStyle w:val="len1"/>
                    <w:rPr>
                      <w:rFonts w:eastAsia="Calibri"/>
                      <w:b w:val="0"/>
                      <w:bCs w:val="0"/>
                      <w:sz w:val="20"/>
                      <w:szCs w:val="20"/>
                      <w:lang w:eastAsia="en-US"/>
                    </w:rPr>
                  </w:pPr>
                  <w:r w:rsidRPr="00415A84">
                    <w:rPr>
                      <w:rFonts w:eastAsia="Calibri"/>
                      <w:b w:val="0"/>
                      <w:bCs w:val="0"/>
                      <w:sz w:val="20"/>
                      <w:szCs w:val="20"/>
                      <w:lang w:eastAsia="en-US"/>
                    </w:rPr>
                    <w:t>15. člen</w:t>
                  </w:r>
                </w:p>
                <w:p w14:paraId="4418CC62" w14:textId="77777777" w:rsidR="002B3F22" w:rsidRPr="00415A84" w:rsidRDefault="002B3F22" w:rsidP="002B3F22">
                  <w:pPr>
                    <w:pStyle w:val="lennaslov1"/>
                    <w:rPr>
                      <w:rFonts w:eastAsia="Calibri"/>
                      <w:b w:val="0"/>
                      <w:bCs w:val="0"/>
                      <w:sz w:val="20"/>
                      <w:szCs w:val="20"/>
                      <w:lang w:eastAsia="en-US"/>
                    </w:rPr>
                  </w:pPr>
                  <w:r w:rsidRPr="00415A84">
                    <w:rPr>
                      <w:rFonts w:eastAsia="Calibri"/>
                      <w:b w:val="0"/>
                      <w:bCs w:val="0"/>
                      <w:sz w:val="20"/>
                      <w:szCs w:val="20"/>
                      <w:lang w:eastAsia="en-US"/>
                    </w:rPr>
                    <w:t>(moratorij za zavezanca)</w:t>
                  </w:r>
                </w:p>
                <w:p w14:paraId="06659DF4" w14:textId="77777777" w:rsidR="002B3F22" w:rsidRPr="00415A84" w:rsidRDefault="002B3F22" w:rsidP="002B3F22">
                  <w:pPr>
                    <w:pStyle w:val="odstavek1"/>
                    <w:rPr>
                      <w:rFonts w:eastAsia="Calibri"/>
                      <w:sz w:val="20"/>
                      <w:szCs w:val="20"/>
                      <w:lang w:eastAsia="en-US"/>
                    </w:rPr>
                  </w:pPr>
                  <w:r w:rsidRPr="00415A84">
                    <w:rPr>
                      <w:rFonts w:eastAsia="Calibri"/>
                      <w:sz w:val="20"/>
                      <w:szCs w:val="20"/>
                      <w:lang w:eastAsia="en-US"/>
                    </w:rPr>
                    <w:t>(1) Zavezanec se lahko v primeru, da ostane brez vseh ladij, vključenih v sistem davka na tonažo, ali da vse ladje, vključene v sistem davka na tonažo, ne izpolnjujejo pogojev iz prvega, tretjega in četrtega odstavka 9. člena tega zakona, z obvestilom davčnemu organu iz petega odstavka 14. člena tega zakona odloči za moratorij.</w:t>
                  </w:r>
                </w:p>
                <w:p w14:paraId="03693EA9" w14:textId="77777777" w:rsidR="002B3F22" w:rsidRPr="00415A84" w:rsidRDefault="002B3F22" w:rsidP="002B3F22">
                  <w:pPr>
                    <w:pStyle w:val="odstavek1"/>
                    <w:rPr>
                      <w:rFonts w:eastAsia="Calibri"/>
                      <w:sz w:val="20"/>
                      <w:szCs w:val="20"/>
                      <w:lang w:eastAsia="en-US"/>
                    </w:rPr>
                  </w:pPr>
                  <w:r w:rsidRPr="00415A84">
                    <w:rPr>
                      <w:rFonts w:eastAsia="Calibri"/>
                      <w:sz w:val="20"/>
                      <w:szCs w:val="20"/>
                      <w:lang w:eastAsia="en-US"/>
                    </w:rPr>
                    <w:t xml:space="preserve">(2) Moratorij začne veljati 15. dan od vložitve obvestila, razen če davčni organ v tem roku izda odločbo, s katero ugotovi, da niso izpolnjeni pogoji za moratorij. Pritožba zoper to odločbo ne zadrži izvršitve. Moratorij ne more biti daljši od šestih mesecev. Med moratorijem se za </w:t>
                  </w:r>
                  <w:r w:rsidRPr="00415A84">
                    <w:rPr>
                      <w:rFonts w:eastAsia="Calibri"/>
                      <w:sz w:val="20"/>
                      <w:szCs w:val="20"/>
                      <w:lang w:eastAsia="en-US"/>
                    </w:rPr>
                    <w:lastRenderedPageBreak/>
                    <w:t>zavezanca ne uporabljajo III. do VII. poglavje tega zakona, desetletno obdobje pa teče naprej.</w:t>
                  </w:r>
                </w:p>
                <w:p w14:paraId="77958287" w14:textId="77777777" w:rsidR="002B3F22" w:rsidRPr="00415A84" w:rsidRDefault="002B3F22" w:rsidP="002B3F22">
                  <w:pPr>
                    <w:pStyle w:val="odstavek1"/>
                    <w:rPr>
                      <w:rFonts w:eastAsia="Calibri"/>
                      <w:sz w:val="20"/>
                      <w:szCs w:val="20"/>
                      <w:lang w:eastAsia="en-US"/>
                    </w:rPr>
                  </w:pPr>
                  <w:r w:rsidRPr="00415A84">
                    <w:rPr>
                      <w:rFonts w:eastAsia="Calibri"/>
                      <w:sz w:val="20"/>
                      <w:szCs w:val="20"/>
                      <w:lang w:eastAsia="en-US"/>
                    </w:rPr>
                    <w:t>(3) Zavezanec mora v osmih dneh po prenehanju razlogov za moratorij o tem obvestiti davčni organ. Moratorij preneha z dnem vložitve obvestila davčnemu organu ali z dnem, ko davčni organ ugotovi, da so razlogi za moratorij prenehali.</w:t>
                  </w:r>
                </w:p>
                <w:p w14:paraId="3DBD6A88" w14:textId="77777777" w:rsidR="002B3F22" w:rsidRPr="00415A84" w:rsidRDefault="002B3F22" w:rsidP="002B3F22">
                  <w:pPr>
                    <w:pStyle w:val="odstavek1"/>
                    <w:rPr>
                      <w:rFonts w:eastAsia="Calibri"/>
                      <w:sz w:val="20"/>
                      <w:szCs w:val="20"/>
                      <w:lang w:eastAsia="en-US"/>
                    </w:rPr>
                  </w:pPr>
                  <w:r w:rsidRPr="00415A84">
                    <w:rPr>
                      <w:rFonts w:eastAsia="Calibri"/>
                      <w:sz w:val="20"/>
                      <w:szCs w:val="20"/>
                      <w:lang w:eastAsia="en-US"/>
                    </w:rPr>
                    <w:t>(4) Če razlogi za nastop moratorija za zavezanca obstajajo tudi ob izteku moratorija, davčni organ odloči o izbrisu zavezanca iz sistema davka na tonažo in o morebitni obveznosti plačila razlike davka in obresti iz šestega odstavka 14. člena tega zakona. Zavezanec deset let od izbrisa ne more ponovno pristopiti k sistemu davka na tonažo.</w:t>
                  </w:r>
                </w:p>
                <w:p w14:paraId="6017C398" w14:textId="77777777" w:rsidR="007D5CF5" w:rsidRDefault="007D5CF5" w:rsidP="00766741">
                  <w:pPr>
                    <w:pStyle w:val="Poglavje"/>
                    <w:spacing w:before="0" w:after="0" w:line="260" w:lineRule="exact"/>
                    <w:jc w:val="left"/>
                    <w:rPr>
                      <w:rFonts w:eastAsia="Calibri"/>
                      <w:b w:val="0"/>
                      <w:sz w:val="20"/>
                      <w:szCs w:val="20"/>
                      <w:lang w:eastAsia="en-US"/>
                    </w:rPr>
                  </w:pPr>
                </w:p>
                <w:p w14:paraId="632B54B9" w14:textId="77777777" w:rsidR="007D5CF5" w:rsidRDefault="007D5CF5" w:rsidP="00766741">
                  <w:pPr>
                    <w:pStyle w:val="Poglavje"/>
                    <w:spacing w:before="0" w:after="0" w:line="260" w:lineRule="exact"/>
                    <w:jc w:val="left"/>
                    <w:rPr>
                      <w:rFonts w:eastAsia="Calibri"/>
                      <w:b w:val="0"/>
                      <w:sz w:val="20"/>
                      <w:szCs w:val="20"/>
                      <w:lang w:eastAsia="en-US"/>
                    </w:rPr>
                  </w:pPr>
                </w:p>
                <w:p w14:paraId="105E18FF" w14:textId="77777777" w:rsidR="007D5CF5" w:rsidRDefault="007D5CF5" w:rsidP="00766741">
                  <w:pPr>
                    <w:pStyle w:val="Poglavje"/>
                    <w:spacing w:before="0" w:after="0" w:line="260" w:lineRule="exact"/>
                    <w:jc w:val="left"/>
                    <w:rPr>
                      <w:rFonts w:eastAsia="Calibri"/>
                      <w:b w:val="0"/>
                      <w:sz w:val="20"/>
                      <w:szCs w:val="20"/>
                      <w:lang w:eastAsia="en-US"/>
                    </w:rPr>
                  </w:pPr>
                </w:p>
                <w:p w14:paraId="393FDB29" w14:textId="32E7D293" w:rsidR="005C7977" w:rsidRPr="00BD6AC8" w:rsidRDefault="005C7977" w:rsidP="00766741">
                  <w:pPr>
                    <w:pStyle w:val="Poglavje"/>
                    <w:spacing w:before="0" w:after="0" w:line="260" w:lineRule="exact"/>
                    <w:jc w:val="left"/>
                    <w:rPr>
                      <w:rFonts w:eastAsia="Calibri"/>
                      <w:b w:val="0"/>
                      <w:sz w:val="20"/>
                      <w:szCs w:val="20"/>
                      <w:lang w:eastAsia="en-US"/>
                    </w:rPr>
                  </w:pPr>
                </w:p>
              </w:tc>
            </w:tr>
            <w:tr w:rsidR="005C7977" w:rsidRPr="00415A84" w14:paraId="6263890F" w14:textId="77777777" w:rsidTr="00766741">
              <w:tc>
                <w:tcPr>
                  <w:tcW w:w="9213" w:type="dxa"/>
                </w:tcPr>
                <w:p w14:paraId="3F029D91" w14:textId="6F1CD505" w:rsidR="005C7977" w:rsidRPr="00415A84" w:rsidRDefault="005C7977" w:rsidP="00766741">
                  <w:pPr>
                    <w:pStyle w:val="Neotevilenodstavek"/>
                    <w:spacing w:before="0" w:after="0" w:line="260" w:lineRule="exact"/>
                    <w:rPr>
                      <w:rFonts w:eastAsia="Calibri" w:cs="Arial"/>
                      <w:sz w:val="20"/>
                      <w:szCs w:val="20"/>
                      <w:lang w:val="sl-SI" w:eastAsia="en-US"/>
                    </w:rPr>
                  </w:pPr>
                </w:p>
              </w:tc>
            </w:tr>
            <w:tr w:rsidR="005C7977" w:rsidRPr="00415A84" w14:paraId="21BAC15E" w14:textId="77777777" w:rsidTr="00766741">
              <w:tc>
                <w:tcPr>
                  <w:tcW w:w="9213" w:type="dxa"/>
                </w:tcPr>
                <w:p w14:paraId="0AB774D7" w14:textId="77777777" w:rsidR="007D5CF5" w:rsidRDefault="007D5CF5" w:rsidP="00766741">
                  <w:pPr>
                    <w:pStyle w:val="Poglavje"/>
                    <w:spacing w:before="0" w:after="0" w:line="260" w:lineRule="exact"/>
                    <w:jc w:val="left"/>
                    <w:rPr>
                      <w:rFonts w:eastAsia="Calibri"/>
                      <w:b w:val="0"/>
                      <w:sz w:val="20"/>
                      <w:szCs w:val="20"/>
                      <w:lang w:eastAsia="en-US"/>
                    </w:rPr>
                  </w:pPr>
                </w:p>
                <w:p w14:paraId="1F8DE5EF" w14:textId="6ED62268" w:rsidR="007D5CF5" w:rsidRPr="00415A84" w:rsidRDefault="007D5CF5" w:rsidP="00392394">
                  <w:pPr>
                    <w:pStyle w:val="Poglavje"/>
                    <w:spacing w:before="0" w:after="0" w:line="260" w:lineRule="exact"/>
                    <w:ind w:left="720"/>
                    <w:jc w:val="left"/>
                    <w:rPr>
                      <w:rFonts w:eastAsia="Calibri"/>
                      <w:b w:val="0"/>
                      <w:sz w:val="20"/>
                      <w:szCs w:val="20"/>
                      <w:lang w:eastAsia="en-US"/>
                    </w:rPr>
                  </w:pPr>
                </w:p>
              </w:tc>
            </w:tr>
            <w:tr w:rsidR="005C7977" w:rsidRPr="00415A84" w14:paraId="6C927036" w14:textId="77777777" w:rsidTr="00766741">
              <w:tc>
                <w:tcPr>
                  <w:tcW w:w="9213" w:type="dxa"/>
                </w:tcPr>
                <w:p w14:paraId="1F6B25B6" w14:textId="3FCBC55C" w:rsidR="005C7977" w:rsidRPr="00415A84" w:rsidRDefault="005C7977" w:rsidP="007D5CF5">
                  <w:pPr>
                    <w:pStyle w:val="Alineazaodstavkom"/>
                    <w:numPr>
                      <w:ilvl w:val="0"/>
                      <w:numId w:val="0"/>
                    </w:numPr>
                    <w:spacing w:line="260" w:lineRule="exact"/>
                    <w:ind w:left="601"/>
                    <w:rPr>
                      <w:rFonts w:eastAsia="Calibri" w:cs="Arial"/>
                      <w:sz w:val="20"/>
                      <w:szCs w:val="20"/>
                      <w:lang w:val="sl-SI" w:eastAsia="en-US"/>
                    </w:rPr>
                  </w:pPr>
                </w:p>
              </w:tc>
            </w:tr>
            <w:tr w:rsidR="005C7977" w:rsidRPr="00415A84" w14:paraId="7B857C17" w14:textId="77777777" w:rsidTr="00766741">
              <w:tc>
                <w:tcPr>
                  <w:tcW w:w="9213" w:type="dxa"/>
                </w:tcPr>
                <w:p w14:paraId="48E7B131" w14:textId="77777777" w:rsidR="005C7977" w:rsidRPr="00415A84" w:rsidRDefault="005C7977" w:rsidP="00766741">
                  <w:pPr>
                    <w:jc w:val="both"/>
                    <w:rPr>
                      <w:rFonts w:ascii="Arial" w:hAnsi="Arial" w:cs="Arial"/>
                      <w:sz w:val="20"/>
                      <w:szCs w:val="20"/>
                    </w:rPr>
                  </w:pPr>
                </w:p>
              </w:tc>
            </w:tr>
          </w:tbl>
          <w:p w14:paraId="6B25FF5B" w14:textId="77777777" w:rsidR="005C7977" w:rsidRPr="00415A84" w:rsidRDefault="005C7977" w:rsidP="00766741">
            <w:pPr>
              <w:pStyle w:val="Naslovpredpisa"/>
              <w:spacing w:before="0" w:after="0" w:line="260" w:lineRule="exact"/>
              <w:rPr>
                <w:rFonts w:eastAsia="Calibri" w:cs="Arial"/>
                <w:b w:val="0"/>
                <w:sz w:val="20"/>
                <w:szCs w:val="20"/>
                <w:lang w:val="sl-SI" w:eastAsia="en-US"/>
              </w:rPr>
            </w:pPr>
          </w:p>
          <w:p w14:paraId="2BC22DE9" w14:textId="77777777" w:rsidR="005C7977" w:rsidRPr="00415A84" w:rsidRDefault="005C7977" w:rsidP="00766741">
            <w:pPr>
              <w:pStyle w:val="Naslovpredpisa"/>
              <w:spacing w:before="0" w:after="0" w:line="260" w:lineRule="exact"/>
              <w:rPr>
                <w:rFonts w:eastAsia="Calibri" w:cs="Arial"/>
                <w:b w:val="0"/>
                <w:sz w:val="20"/>
                <w:szCs w:val="20"/>
                <w:lang w:val="sl-SI" w:eastAsia="en-US"/>
              </w:rPr>
            </w:pPr>
          </w:p>
        </w:tc>
      </w:tr>
      <w:tr w:rsidR="005C7977" w:rsidRPr="00D55AB6" w14:paraId="24BE73BD" w14:textId="77777777" w:rsidTr="00216268">
        <w:tc>
          <w:tcPr>
            <w:tcW w:w="9213" w:type="dxa"/>
          </w:tcPr>
          <w:p w14:paraId="2098E60E" w14:textId="77777777" w:rsidR="005C7977" w:rsidRPr="00D55AB6" w:rsidRDefault="005C7977" w:rsidP="00766741">
            <w:pPr>
              <w:pStyle w:val="Poglavje"/>
              <w:spacing w:before="0" w:after="0" w:line="260" w:lineRule="exact"/>
              <w:jc w:val="left"/>
              <w:rPr>
                <w:sz w:val="20"/>
                <w:szCs w:val="20"/>
              </w:rPr>
            </w:pPr>
          </w:p>
        </w:tc>
      </w:tr>
      <w:tr w:rsidR="005C7977" w:rsidRPr="00D55AB6" w14:paraId="5600F333" w14:textId="77777777" w:rsidTr="00216268">
        <w:tc>
          <w:tcPr>
            <w:tcW w:w="9213" w:type="dxa"/>
          </w:tcPr>
          <w:p w14:paraId="396AEC88" w14:textId="77777777" w:rsidR="005C7977" w:rsidRPr="00D55AB6" w:rsidRDefault="005C7977" w:rsidP="00766741">
            <w:pPr>
              <w:pStyle w:val="Oddelek"/>
              <w:numPr>
                <w:ilvl w:val="0"/>
                <w:numId w:val="0"/>
              </w:numPr>
              <w:spacing w:before="0" w:after="0" w:line="260" w:lineRule="exact"/>
              <w:ind w:left="720"/>
              <w:jc w:val="left"/>
              <w:rPr>
                <w:rFonts w:cs="Arial"/>
                <w:sz w:val="20"/>
                <w:szCs w:val="20"/>
                <w:lang w:val="sl-SI" w:eastAsia="sl-SI"/>
              </w:rPr>
            </w:pPr>
          </w:p>
        </w:tc>
      </w:tr>
    </w:tbl>
    <w:p w14:paraId="566BAFB6" w14:textId="77777777" w:rsidR="005C7977" w:rsidRDefault="005C7977" w:rsidP="005C7977">
      <w:pPr>
        <w:pStyle w:val="Odstavekseznama1"/>
        <w:spacing w:line="260" w:lineRule="exact"/>
        <w:ind w:left="0"/>
        <w:rPr>
          <w:rFonts w:ascii="Arial" w:hAnsi="Arial" w:cs="Arial"/>
          <w:b/>
          <w:sz w:val="20"/>
          <w:szCs w:val="20"/>
        </w:rPr>
        <w:sectPr w:rsidR="005C7977" w:rsidSect="005553CB">
          <w:headerReference w:type="first" r:id="rId14"/>
          <w:pgSz w:w="11906" w:h="16838"/>
          <w:pgMar w:top="1418" w:right="1418" w:bottom="1418" w:left="1418" w:header="708" w:footer="708" w:gutter="0"/>
          <w:cols w:space="708"/>
          <w:docGrid w:linePitch="360"/>
        </w:sectPr>
      </w:pPr>
    </w:p>
    <w:p w14:paraId="6D88C96E" w14:textId="77777777" w:rsidR="005553CB" w:rsidRPr="00854A13" w:rsidRDefault="005553CB" w:rsidP="00854A13">
      <w:pPr>
        <w:keepLines/>
        <w:framePr w:w="9962" w:wrap="auto" w:hAnchor="text" w:x="1300"/>
        <w:overflowPunct w:val="0"/>
        <w:autoSpaceDE w:val="0"/>
        <w:autoSpaceDN w:val="0"/>
        <w:adjustRightInd w:val="0"/>
        <w:spacing w:line="260" w:lineRule="exact"/>
        <w:contextualSpacing/>
        <w:jc w:val="both"/>
        <w:rPr>
          <w:rFonts w:cs="Arial"/>
          <w:szCs w:val="20"/>
        </w:rPr>
        <w:sectPr w:rsidR="005553CB" w:rsidRPr="00854A13" w:rsidSect="00CA689C">
          <w:headerReference w:type="default" r:id="rId15"/>
          <w:footerReference w:type="default" r:id="rId16"/>
          <w:headerReference w:type="first" r:id="rId17"/>
          <w:pgSz w:w="11906" w:h="16838"/>
          <w:pgMar w:top="1418" w:right="1418" w:bottom="1418" w:left="1418" w:header="708" w:footer="708" w:gutter="0"/>
          <w:cols w:space="708"/>
          <w:docGrid w:linePitch="360"/>
        </w:sectPr>
      </w:pPr>
    </w:p>
    <w:p w14:paraId="6D88CA3A" w14:textId="77777777" w:rsidR="001D7D1C" w:rsidRPr="00AC67A7" w:rsidRDefault="001D7D1C" w:rsidP="00854A13">
      <w:pPr>
        <w:pStyle w:val="Naslovpredpisa"/>
        <w:spacing w:before="0" w:after="0" w:line="260" w:lineRule="exact"/>
        <w:jc w:val="both"/>
        <w:rPr>
          <w:rFonts w:cs="Arial"/>
          <w:b w:val="0"/>
          <w:sz w:val="20"/>
          <w:szCs w:val="20"/>
          <w:lang w:val="sl-SI"/>
        </w:rPr>
      </w:pPr>
    </w:p>
    <w:sectPr w:rsidR="001D7D1C" w:rsidRPr="00AC67A7" w:rsidSect="005C7977">
      <w:headerReference w:type="first" r:id="rId18"/>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DBD4B" w14:textId="77777777" w:rsidR="00596966" w:rsidRDefault="00596966">
      <w:pPr>
        <w:spacing w:after="0" w:line="240" w:lineRule="auto"/>
      </w:pPr>
      <w:r>
        <w:separator/>
      </w:r>
    </w:p>
  </w:endnote>
  <w:endnote w:type="continuationSeparator" w:id="0">
    <w:p w14:paraId="3E83D23A" w14:textId="77777777" w:rsidR="00596966" w:rsidRDefault="00596966">
      <w:pPr>
        <w:spacing w:after="0" w:line="240" w:lineRule="auto"/>
      </w:pPr>
      <w:r>
        <w:continuationSeparator/>
      </w:r>
    </w:p>
  </w:endnote>
  <w:endnote w:type="continuationNotice" w:id="1">
    <w:p w14:paraId="3A6D5BCA" w14:textId="77777777" w:rsidR="00596966" w:rsidRDefault="005969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F">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8CA44" w14:textId="77777777" w:rsidR="00E01114" w:rsidRDefault="00E01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B79C9" w14:textId="77777777" w:rsidR="00596966" w:rsidRDefault="00596966">
      <w:pPr>
        <w:spacing w:after="0" w:line="240" w:lineRule="auto"/>
      </w:pPr>
      <w:r>
        <w:separator/>
      </w:r>
    </w:p>
  </w:footnote>
  <w:footnote w:type="continuationSeparator" w:id="0">
    <w:p w14:paraId="6B95CEEF" w14:textId="77777777" w:rsidR="00596966" w:rsidRDefault="00596966">
      <w:pPr>
        <w:spacing w:after="0" w:line="240" w:lineRule="auto"/>
      </w:pPr>
      <w:r>
        <w:continuationSeparator/>
      </w:r>
    </w:p>
  </w:footnote>
  <w:footnote w:type="continuationNotice" w:id="1">
    <w:p w14:paraId="7C905FCA" w14:textId="77777777" w:rsidR="00596966" w:rsidRDefault="0059696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00CA7" w14:textId="77777777" w:rsidR="00E01114" w:rsidRPr="008F3500" w:rsidRDefault="00E01114" w:rsidP="00E455F9">
    <w:pPr>
      <w:pStyle w:val="Header"/>
      <w:tabs>
        <w:tab w:val="clear" w:pos="4320"/>
        <w:tab w:val="clear" w:pos="8640"/>
        <w:tab w:val="left" w:pos="5112"/>
      </w:tabs>
      <w:spacing w:line="240" w:lineRule="exact"/>
      <w:rPr>
        <w:rFonts w:cs="Arial"/>
        <w:sz w:val="16"/>
      </w:rPr>
    </w:pPr>
    <w:r w:rsidRPr="008F3500">
      <w:rPr>
        <w:rFonts w:cs="Arial"/>
        <w:sz w:val="16"/>
      </w:rPr>
      <w:tab/>
    </w:r>
  </w:p>
  <w:p w14:paraId="47A2310B" w14:textId="77777777" w:rsidR="00E01114" w:rsidRPr="008F3500" w:rsidRDefault="00E01114" w:rsidP="00E455F9">
    <w:pPr>
      <w:pStyle w:val="Header"/>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8CA43" w14:textId="77777777" w:rsidR="00E01114" w:rsidRPr="00684337" w:rsidRDefault="00E01114" w:rsidP="00684337">
    <w:pPr>
      <w:pStyle w:val="Header"/>
      <w:rPr>
        <w:lang w:val="sl-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8CA45" w14:textId="77777777" w:rsidR="00E01114" w:rsidRPr="00E21FF9" w:rsidRDefault="00E01114" w:rsidP="00CA689C">
    <w:pPr>
      <w:pStyle w:val="Header"/>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6D88CA46" w14:textId="77777777" w:rsidR="00E01114" w:rsidRPr="008F3500" w:rsidRDefault="00E01114" w:rsidP="00CA689C">
    <w:pPr>
      <w:pStyle w:val="Header"/>
      <w:tabs>
        <w:tab w:val="clear" w:pos="4320"/>
        <w:tab w:val="clear" w:pos="8640"/>
        <w:tab w:val="left" w:pos="511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8CA47" w14:textId="77777777" w:rsidR="00E01114" w:rsidRPr="008F3500" w:rsidRDefault="00E01114" w:rsidP="00E455F9">
    <w:pPr>
      <w:pStyle w:val="Header"/>
      <w:tabs>
        <w:tab w:val="clear" w:pos="4320"/>
        <w:tab w:val="clear" w:pos="8640"/>
        <w:tab w:val="left" w:pos="5112"/>
      </w:tabs>
      <w:spacing w:line="240" w:lineRule="exact"/>
      <w:rPr>
        <w:rFonts w:cs="Arial"/>
        <w:sz w:val="16"/>
      </w:rPr>
    </w:pPr>
    <w:r w:rsidRPr="008F3500">
      <w:rPr>
        <w:rFonts w:cs="Arial"/>
        <w:sz w:val="16"/>
      </w:rPr>
      <w:tab/>
    </w:r>
  </w:p>
  <w:p w14:paraId="6D88CA48" w14:textId="77777777" w:rsidR="00E01114" w:rsidRPr="008F3500" w:rsidRDefault="00E01114" w:rsidP="00E455F9">
    <w:pPr>
      <w:pStyle w:val="Header"/>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3461"/>
    <w:multiLevelType w:val="hybridMultilevel"/>
    <w:tmpl w:val="E1B683B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088C1624"/>
    <w:multiLevelType w:val="hybridMultilevel"/>
    <w:tmpl w:val="61A8F44A"/>
    <w:lvl w:ilvl="0" w:tplc="76AC1A70">
      <w:start w:val="49"/>
      <w:numFmt w:val="bullet"/>
      <w:lvlText w:val=""/>
      <w:lvlJc w:val="left"/>
      <w:pPr>
        <w:ind w:left="786"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5D717C4"/>
    <w:multiLevelType w:val="hybridMultilevel"/>
    <w:tmpl w:val="0708F82E"/>
    <w:lvl w:ilvl="0" w:tplc="849E05B4">
      <w:numFmt w:val="bullet"/>
      <w:lvlText w:val="–"/>
      <w:lvlJc w:val="left"/>
      <w:pPr>
        <w:ind w:left="1069" w:hanging="360"/>
      </w:pPr>
      <w:rPr>
        <w:rFonts w:ascii="Arial" w:eastAsia="Times New Roman" w:hAnsi="Aria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6">
    <w:nsid w:val="18301157"/>
    <w:multiLevelType w:val="hybridMultilevel"/>
    <w:tmpl w:val="84BA737A"/>
    <w:lvl w:ilvl="0" w:tplc="86804BB2">
      <w:start w:val="14"/>
      <w:numFmt w:val="bullet"/>
      <w:lvlText w:val="-"/>
      <w:lvlJc w:val="left"/>
      <w:pPr>
        <w:tabs>
          <w:tab w:val="num" w:pos="720"/>
        </w:tabs>
        <w:ind w:left="720" w:hanging="360"/>
      </w:pPr>
      <w:rPr>
        <w:rFonts w:ascii="Arial" w:eastAsia="Times New Roman" w:hAnsi="Arial"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BDE39DC"/>
    <w:multiLevelType w:val="hybridMultilevel"/>
    <w:tmpl w:val="965485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0">
    <w:nsid w:val="26814E74"/>
    <w:multiLevelType w:val="hybridMultilevel"/>
    <w:tmpl w:val="0308A964"/>
    <w:lvl w:ilvl="0" w:tplc="C5FCFC4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7791056"/>
    <w:multiLevelType w:val="hybridMultilevel"/>
    <w:tmpl w:val="10B44A04"/>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2C8F2DCE"/>
    <w:multiLevelType w:val="hybridMultilevel"/>
    <w:tmpl w:val="F5C080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4">
    <w:nsid w:val="31CD4BBB"/>
    <w:multiLevelType w:val="hybridMultilevel"/>
    <w:tmpl w:val="45A09CC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5">
    <w:nsid w:val="32CF7BF1"/>
    <w:multiLevelType w:val="hybridMultilevel"/>
    <w:tmpl w:val="37BA4A36"/>
    <w:lvl w:ilvl="0" w:tplc="B65A53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4781E5E"/>
    <w:multiLevelType w:val="hybridMultilevel"/>
    <w:tmpl w:val="8EEC87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9">
    <w:nsid w:val="3B057127"/>
    <w:multiLevelType w:val="hybridMultilevel"/>
    <w:tmpl w:val="92CE5CA6"/>
    <w:lvl w:ilvl="0" w:tplc="92FC7576">
      <w:start w:val="3"/>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BC82851"/>
    <w:multiLevelType w:val="hybridMultilevel"/>
    <w:tmpl w:val="3146CD18"/>
    <w:lvl w:ilvl="0" w:tplc="80F23D9E">
      <w:start w:val="1"/>
      <w:numFmt w:val="decimal"/>
      <w:lvlText w:val="%1."/>
      <w:lvlJc w:val="left"/>
      <w:pPr>
        <w:ind w:left="720" w:hanging="360"/>
      </w:pPr>
      <w:rPr>
        <w:rFonts w:eastAsia="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3FF265F4"/>
    <w:multiLevelType w:val="hybridMultilevel"/>
    <w:tmpl w:val="F31C22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05E1B26"/>
    <w:multiLevelType w:val="hybridMultilevel"/>
    <w:tmpl w:val="00087C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22004EF"/>
    <w:multiLevelType w:val="hybridMultilevel"/>
    <w:tmpl w:val="265299D4"/>
    <w:lvl w:ilvl="0" w:tplc="DD968542">
      <w:start w:val="49"/>
      <w:numFmt w:val="bullet"/>
      <w:lvlText w:val=""/>
      <w:lvlJc w:val="left"/>
      <w:pPr>
        <w:ind w:left="360" w:hanging="360"/>
      </w:pPr>
      <w:rPr>
        <w:rFonts w:ascii="Symbol" w:eastAsia="Times New Roman" w:hAnsi="Symbol"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nsid w:val="442B5E87"/>
    <w:multiLevelType w:val="hybridMultilevel"/>
    <w:tmpl w:val="527CDC0E"/>
    <w:lvl w:ilvl="0" w:tplc="A91C06C0">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5657097"/>
    <w:multiLevelType w:val="hybridMultilevel"/>
    <w:tmpl w:val="57CEDE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45BB52AB"/>
    <w:multiLevelType w:val="hybridMultilevel"/>
    <w:tmpl w:val="453EA93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0">
    <w:nsid w:val="528037E8"/>
    <w:multiLevelType w:val="hybridMultilevel"/>
    <w:tmpl w:val="F8E294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3907358"/>
    <w:multiLevelType w:val="hybridMultilevel"/>
    <w:tmpl w:val="A6E29C84"/>
    <w:lvl w:ilvl="0" w:tplc="4808DB84">
      <w:start w:val="49"/>
      <w:numFmt w:val="bullet"/>
      <w:lvlText w:val=""/>
      <w:lvlJc w:val="left"/>
      <w:pPr>
        <w:ind w:left="720" w:hanging="360"/>
      </w:pPr>
      <w:rPr>
        <w:rFonts w:ascii="Symbol" w:hAnsi="Symbol" w:hint="default"/>
        <w:spacing w:val="0"/>
        <w:w w:val="100"/>
        <w:position w:val="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09F0840"/>
    <w:multiLevelType w:val="hybridMultilevel"/>
    <w:tmpl w:val="3A0A2112"/>
    <w:lvl w:ilvl="0" w:tplc="2C58A668">
      <w:start w:val="1"/>
      <w:numFmt w:val="decimal"/>
      <w:lvlText w:val="%1."/>
      <w:lvlJc w:val="left"/>
      <w:pPr>
        <w:ind w:left="720" w:hanging="360"/>
      </w:pPr>
      <w:rPr>
        <w:rFonts w:ascii="Arial" w:eastAsiaTheme="minorHAnsi" w:hAnsi="Arial" w:cs="Arial"/>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A187845"/>
    <w:multiLevelType w:val="multilevel"/>
    <w:tmpl w:val="8B584B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6F747532"/>
    <w:multiLevelType w:val="hybridMultilevel"/>
    <w:tmpl w:val="82D0CB56"/>
    <w:lvl w:ilvl="0" w:tplc="80F23D9E">
      <w:start w:val="1"/>
      <w:numFmt w:val="decimal"/>
      <w:lvlText w:val="%1."/>
      <w:lvlJc w:val="left"/>
      <w:pPr>
        <w:ind w:left="720" w:hanging="360"/>
      </w:pPr>
      <w:rPr>
        <w:rFonts w:eastAsia="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6FD21CB7"/>
    <w:multiLevelType w:val="multilevel"/>
    <w:tmpl w:val="99C23356"/>
    <w:lvl w:ilvl="0">
      <w:numFmt w:val="bullet"/>
      <w:lvlText w:val="-"/>
      <w:lvlJc w:val="left"/>
      <w:pPr>
        <w:ind w:left="720" w:hanging="360"/>
      </w:pPr>
      <w:rPr>
        <w:rFonts w:ascii="Arial" w:eastAsia="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nsid w:val="7B56669F"/>
    <w:multiLevelType w:val="hybridMultilevel"/>
    <w:tmpl w:val="48F084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17"/>
  </w:num>
  <w:num w:numId="4">
    <w:abstractNumId w:val="1"/>
  </w:num>
  <w:num w:numId="5">
    <w:abstractNumId w:val="18"/>
    <w:lvlOverride w:ilvl="0">
      <w:startOverride w:val="1"/>
    </w:lvlOverride>
  </w:num>
  <w:num w:numId="6">
    <w:abstractNumId w:val="9"/>
  </w:num>
  <w:num w:numId="7">
    <w:abstractNumId w:val="3"/>
  </w:num>
  <w:num w:numId="8">
    <w:abstractNumId w:val="4"/>
  </w:num>
  <w:num w:numId="9">
    <w:abstractNumId w:val="8"/>
  </w:num>
  <w:num w:numId="10">
    <w:abstractNumId w:val="36"/>
  </w:num>
  <w:num w:numId="11">
    <w:abstractNumId w:val="33"/>
  </w:num>
  <w:num w:numId="12">
    <w:abstractNumId w:val="37"/>
  </w:num>
  <w:num w:numId="13">
    <w:abstractNumId w:val="42"/>
  </w:num>
  <w:num w:numId="14">
    <w:abstractNumId w:val="23"/>
  </w:num>
  <w:num w:numId="15">
    <w:abstractNumId w:val="12"/>
  </w:num>
  <w:num w:numId="16">
    <w:abstractNumId w:val="31"/>
  </w:num>
  <w:num w:numId="17">
    <w:abstractNumId w:val="19"/>
  </w:num>
  <w:num w:numId="18">
    <w:abstractNumId w:val="6"/>
  </w:num>
  <w:num w:numId="19">
    <w:abstractNumId w:val="16"/>
  </w:num>
  <w:num w:numId="20">
    <w:abstractNumId w:val="21"/>
  </w:num>
  <w:num w:numId="21">
    <w:abstractNumId w:val="2"/>
  </w:num>
  <w:num w:numId="22">
    <w:abstractNumId w:val="13"/>
  </w:num>
  <w:num w:numId="23">
    <w:abstractNumId w:val="15"/>
  </w:num>
  <w:num w:numId="24">
    <w:abstractNumId w:val="20"/>
  </w:num>
  <w:num w:numId="25">
    <w:abstractNumId w:val="22"/>
  </w:num>
  <w:num w:numId="26">
    <w:abstractNumId w:val="39"/>
  </w:num>
  <w:num w:numId="27">
    <w:abstractNumId w:val="10"/>
  </w:num>
  <w:num w:numId="28">
    <w:abstractNumId w:val="14"/>
  </w:num>
  <w:num w:numId="29">
    <w:abstractNumId w:val="29"/>
  </w:num>
  <w:num w:numId="30">
    <w:abstractNumId w:val="32"/>
  </w:num>
  <w:num w:numId="31">
    <w:abstractNumId w:val="34"/>
  </w:num>
  <w:num w:numId="32">
    <w:abstractNumId w:val="38"/>
  </w:num>
  <w:num w:numId="33">
    <w:abstractNumId w:val="27"/>
  </w:num>
  <w:num w:numId="34">
    <w:abstractNumId w:val="35"/>
  </w:num>
  <w:num w:numId="35">
    <w:abstractNumId w:val="5"/>
  </w:num>
  <w:num w:numId="36">
    <w:abstractNumId w:val="7"/>
  </w:num>
  <w:num w:numId="37">
    <w:abstractNumId w:val="41"/>
  </w:num>
  <w:num w:numId="38">
    <w:abstractNumId w:val="30"/>
  </w:num>
  <w:num w:numId="39">
    <w:abstractNumId w:val="0"/>
  </w:num>
  <w:num w:numId="40">
    <w:abstractNumId w:val="40"/>
  </w:num>
  <w:num w:numId="41">
    <w:abstractNumId w:val="11"/>
  </w:num>
  <w:num w:numId="42">
    <w:abstractNumId w:val="11"/>
    <w:lvlOverride w:ilvl="0">
      <w:startOverride w:val="1"/>
    </w:lvlOverride>
  </w:num>
  <w:num w:numId="43">
    <w:abstractNumId w:val="11"/>
    <w:lvlOverride w:ilvl="0">
      <w:startOverride w:val="1"/>
    </w:lvlOverride>
  </w:num>
  <w:num w:numId="44">
    <w:abstractNumId w:val="11"/>
    <w:lvlOverride w:ilvl="0">
      <w:startOverride w:val="1"/>
    </w:lvlOverride>
  </w:num>
  <w:num w:numId="45">
    <w:abstractNumId w:val="28"/>
  </w:num>
  <w:num w:numId="46">
    <w:abstractNumId w:val="26"/>
  </w:num>
  <w:num w:numId="47">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D0"/>
    <w:rsid w:val="000035B4"/>
    <w:rsid w:val="00004519"/>
    <w:rsid w:val="00004EAA"/>
    <w:rsid w:val="00005EA7"/>
    <w:rsid w:val="00006203"/>
    <w:rsid w:val="00007A75"/>
    <w:rsid w:val="000128F8"/>
    <w:rsid w:val="00014F84"/>
    <w:rsid w:val="000205D3"/>
    <w:rsid w:val="0002333A"/>
    <w:rsid w:val="000238FF"/>
    <w:rsid w:val="00030635"/>
    <w:rsid w:val="00033920"/>
    <w:rsid w:val="0003547D"/>
    <w:rsid w:val="000456D1"/>
    <w:rsid w:val="00046811"/>
    <w:rsid w:val="00050DDD"/>
    <w:rsid w:val="0005675B"/>
    <w:rsid w:val="00060054"/>
    <w:rsid w:val="000647AD"/>
    <w:rsid w:val="000709C9"/>
    <w:rsid w:val="00075E70"/>
    <w:rsid w:val="00076325"/>
    <w:rsid w:val="0007779F"/>
    <w:rsid w:val="000814D6"/>
    <w:rsid w:val="0008576D"/>
    <w:rsid w:val="000958B7"/>
    <w:rsid w:val="00097E1E"/>
    <w:rsid w:val="000A18CF"/>
    <w:rsid w:val="000A2446"/>
    <w:rsid w:val="000A4D26"/>
    <w:rsid w:val="000A6B27"/>
    <w:rsid w:val="000A738F"/>
    <w:rsid w:val="000B18D2"/>
    <w:rsid w:val="000C465B"/>
    <w:rsid w:val="000C6727"/>
    <w:rsid w:val="000D023B"/>
    <w:rsid w:val="000D1C23"/>
    <w:rsid w:val="000D549D"/>
    <w:rsid w:val="000D7BA5"/>
    <w:rsid w:val="000E7293"/>
    <w:rsid w:val="000E7828"/>
    <w:rsid w:val="000F3950"/>
    <w:rsid w:val="000F6F26"/>
    <w:rsid w:val="00102718"/>
    <w:rsid w:val="00105489"/>
    <w:rsid w:val="00105D41"/>
    <w:rsid w:val="00105FDB"/>
    <w:rsid w:val="001076B8"/>
    <w:rsid w:val="00107ED0"/>
    <w:rsid w:val="00113239"/>
    <w:rsid w:val="00117FCD"/>
    <w:rsid w:val="0012392F"/>
    <w:rsid w:val="00127401"/>
    <w:rsid w:val="00131F98"/>
    <w:rsid w:val="0013521F"/>
    <w:rsid w:val="00136853"/>
    <w:rsid w:val="00141816"/>
    <w:rsid w:val="0014251B"/>
    <w:rsid w:val="001427DA"/>
    <w:rsid w:val="00142A3D"/>
    <w:rsid w:val="00154032"/>
    <w:rsid w:val="00155B9C"/>
    <w:rsid w:val="001611AF"/>
    <w:rsid w:val="00167703"/>
    <w:rsid w:val="00176D83"/>
    <w:rsid w:val="001815C5"/>
    <w:rsid w:val="00186022"/>
    <w:rsid w:val="00186137"/>
    <w:rsid w:val="00193149"/>
    <w:rsid w:val="00195E8A"/>
    <w:rsid w:val="00196FAF"/>
    <w:rsid w:val="001A1464"/>
    <w:rsid w:val="001A2407"/>
    <w:rsid w:val="001A5CF9"/>
    <w:rsid w:val="001B0A6D"/>
    <w:rsid w:val="001B0C4B"/>
    <w:rsid w:val="001B223E"/>
    <w:rsid w:val="001C1FE9"/>
    <w:rsid w:val="001C36E5"/>
    <w:rsid w:val="001C4581"/>
    <w:rsid w:val="001C7CD2"/>
    <w:rsid w:val="001D275B"/>
    <w:rsid w:val="001D3576"/>
    <w:rsid w:val="001D63E1"/>
    <w:rsid w:val="001D69E0"/>
    <w:rsid w:val="001D7D1C"/>
    <w:rsid w:val="001E0D6F"/>
    <w:rsid w:val="001E6744"/>
    <w:rsid w:val="001F4BFF"/>
    <w:rsid w:val="002017D4"/>
    <w:rsid w:val="00210B1E"/>
    <w:rsid w:val="00210D2D"/>
    <w:rsid w:val="00213280"/>
    <w:rsid w:val="00216268"/>
    <w:rsid w:val="002274DC"/>
    <w:rsid w:val="002303A9"/>
    <w:rsid w:val="00237D26"/>
    <w:rsid w:val="0024099A"/>
    <w:rsid w:val="002413BC"/>
    <w:rsid w:val="0024348B"/>
    <w:rsid w:val="00245805"/>
    <w:rsid w:val="0025262D"/>
    <w:rsid w:val="00253A04"/>
    <w:rsid w:val="00262D67"/>
    <w:rsid w:val="0026722F"/>
    <w:rsid w:val="00267A64"/>
    <w:rsid w:val="00270441"/>
    <w:rsid w:val="00280355"/>
    <w:rsid w:val="002914D9"/>
    <w:rsid w:val="00291CFD"/>
    <w:rsid w:val="002A7713"/>
    <w:rsid w:val="002B131B"/>
    <w:rsid w:val="002B3051"/>
    <w:rsid w:val="002B3F22"/>
    <w:rsid w:val="002B68F3"/>
    <w:rsid w:val="002C301A"/>
    <w:rsid w:val="002D2EA2"/>
    <w:rsid w:val="002D430F"/>
    <w:rsid w:val="002E30E6"/>
    <w:rsid w:val="002E70CC"/>
    <w:rsid w:val="002F13F7"/>
    <w:rsid w:val="00301963"/>
    <w:rsid w:val="003049A8"/>
    <w:rsid w:val="00305876"/>
    <w:rsid w:val="003068B9"/>
    <w:rsid w:val="00306A64"/>
    <w:rsid w:val="00310B0B"/>
    <w:rsid w:val="003165B7"/>
    <w:rsid w:val="003234D3"/>
    <w:rsid w:val="003332BF"/>
    <w:rsid w:val="00335D02"/>
    <w:rsid w:val="00336346"/>
    <w:rsid w:val="00345B58"/>
    <w:rsid w:val="00345F62"/>
    <w:rsid w:val="00350A2E"/>
    <w:rsid w:val="00352453"/>
    <w:rsid w:val="00370102"/>
    <w:rsid w:val="0037239B"/>
    <w:rsid w:val="00372466"/>
    <w:rsid w:val="00373BBC"/>
    <w:rsid w:val="00373F1A"/>
    <w:rsid w:val="003869C5"/>
    <w:rsid w:val="003902D8"/>
    <w:rsid w:val="00392394"/>
    <w:rsid w:val="00392B50"/>
    <w:rsid w:val="003A114F"/>
    <w:rsid w:val="003A3A29"/>
    <w:rsid w:val="003B19E3"/>
    <w:rsid w:val="003C0DF0"/>
    <w:rsid w:val="003C5F04"/>
    <w:rsid w:val="003D0061"/>
    <w:rsid w:val="003D1A7E"/>
    <w:rsid w:val="003D1E7C"/>
    <w:rsid w:val="003D2537"/>
    <w:rsid w:val="003E0DAA"/>
    <w:rsid w:val="003E49E7"/>
    <w:rsid w:val="003F2A20"/>
    <w:rsid w:val="00403D3B"/>
    <w:rsid w:val="00404541"/>
    <w:rsid w:val="00405683"/>
    <w:rsid w:val="00407FC1"/>
    <w:rsid w:val="00415A84"/>
    <w:rsid w:val="00416F67"/>
    <w:rsid w:val="004212D7"/>
    <w:rsid w:val="00424799"/>
    <w:rsid w:val="00425ADA"/>
    <w:rsid w:val="00441D47"/>
    <w:rsid w:val="004426C8"/>
    <w:rsid w:val="00442C8A"/>
    <w:rsid w:val="00451D10"/>
    <w:rsid w:val="00452FB8"/>
    <w:rsid w:val="00457498"/>
    <w:rsid w:val="00472136"/>
    <w:rsid w:val="00474E61"/>
    <w:rsid w:val="00476FC4"/>
    <w:rsid w:val="00480CFB"/>
    <w:rsid w:val="004831B9"/>
    <w:rsid w:val="00486D18"/>
    <w:rsid w:val="00495241"/>
    <w:rsid w:val="004A0464"/>
    <w:rsid w:val="004A5916"/>
    <w:rsid w:val="004A639F"/>
    <w:rsid w:val="004A768E"/>
    <w:rsid w:val="004B0801"/>
    <w:rsid w:val="004B260C"/>
    <w:rsid w:val="004B2E14"/>
    <w:rsid w:val="004B6E18"/>
    <w:rsid w:val="004C0772"/>
    <w:rsid w:val="004C3084"/>
    <w:rsid w:val="004C47D3"/>
    <w:rsid w:val="004D0724"/>
    <w:rsid w:val="004D569C"/>
    <w:rsid w:val="004E4A50"/>
    <w:rsid w:val="004F27D6"/>
    <w:rsid w:val="004F2B9C"/>
    <w:rsid w:val="004F6C03"/>
    <w:rsid w:val="004F6CC3"/>
    <w:rsid w:val="00504322"/>
    <w:rsid w:val="00510C89"/>
    <w:rsid w:val="005124C4"/>
    <w:rsid w:val="0051365E"/>
    <w:rsid w:val="00514FD5"/>
    <w:rsid w:val="00525E6E"/>
    <w:rsid w:val="005336A2"/>
    <w:rsid w:val="005346AE"/>
    <w:rsid w:val="00547FB6"/>
    <w:rsid w:val="005516A2"/>
    <w:rsid w:val="005522F0"/>
    <w:rsid w:val="00553CEF"/>
    <w:rsid w:val="005553CB"/>
    <w:rsid w:val="005558F5"/>
    <w:rsid w:val="00555A8B"/>
    <w:rsid w:val="00561981"/>
    <w:rsid w:val="00562C7C"/>
    <w:rsid w:val="005654ED"/>
    <w:rsid w:val="005711B9"/>
    <w:rsid w:val="00571CDB"/>
    <w:rsid w:val="00571EE0"/>
    <w:rsid w:val="00572BCD"/>
    <w:rsid w:val="0057512B"/>
    <w:rsid w:val="005766BD"/>
    <w:rsid w:val="00576D44"/>
    <w:rsid w:val="00580808"/>
    <w:rsid w:val="00594B90"/>
    <w:rsid w:val="0059610E"/>
    <w:rsid w:val="00596966"/>
    <w:rsid w:val="005A5E04"/>
    <w:rsid w:val="005B0EAA"/>
    <w:rsid w:val="005B4049"/>
    <w:rsid w:val="005B499A"/>
    <w:rsid w:val="005B53B3"/>
    <w:rsid w:val="005B7FA2"/>
    <w:rsid w:val="005C5F18"/>
    <w:rsid w:val="005C7977"/>
    <w:rsid w:val="005D2FD3"/>
    <w:rsid w:val="005D5B3A"/>
    <w:rsid w:val="005E0062"/>
    <w:rsid w:val="005E2D0F"/>
    <w:rsid w:val="005E43C1"/>
    <w:rsid w:val="005E4685"/>
    <w:rsid w:val="005E7716"/>
    <w:rsid w:val="005E78F5"/>
    <w:rsid w:val="005E7C9E"/>
    <w:rsid w:val="005F267F"/>
    <w:rsid w:val="005F3DC6"/>
    <w:rsid w:val="005F7F12"/>
    <w:rsid w:val="00611A1D"/>
    <w:rsid w:val="00621BFE"/>
    <w:rsid w:val="00626E97"/>
    <w:rsid w:val="00631E37"/>
    <w:rsid w:val="00635CC3"/>
    <w:rsid w:val="00640643"/>
    <w:rsid w:val="00642B87"/>
    <w:rsid w:val="00647917"/>
    <w:rsid w:val="00660FA1"/>
    <w:rsid w:val="0066236B"/>
    <w:rsid w:val="00663806"/>
    <w:rsid w:val="00664411"/>
    <w:rsid w:val="00666987"/>
    <w:rsid w:val="00675FFF"/>
    <w:rsid w:val="00682364"/>
    <w:rsid w:val="00684108"/>
    <w:rsid w:val="00684337"/>
    <w:rsid w:val="0068465E"/>
    <w:rsid w:val="006864F9"/>
    <w:rsid w:val="00686C47"/>
    <w:rsid w:val="00692072"/>
    <w:rsid w:val="006939DB"/>
    <w:rsid w:val="00693EAF"/>
    <w:rsid w:val="0069596D"/>
    <w:rsid w:val="0069700E"/>
    <w:rsid w:val="00697AD9"/>
    <w:rsid w:val="006A5437"/>
    <w:rsid w:val="006B0130"/>
    <w:rsid w:val="006B0FEF"/>
    <w:rsid w:val="006B17D1"/>
    <w:rsid w:val="006B2D41"/>
    <w:rsid w:val="006B3E5A"/>
    <w:rsid w:val="006C0201"/>
    <w:rsid w:val="006C2A52"/>
    <w:rsid w:val="006C6FB9"/>
    <w:rsid w:val="006D4CAF"/>
    <w:rsid w:val="006E4467"/>
    <w:rsid w:val="006F274A"/>
    <w:rsid w:val="006F517C"/>
    <w:rsid w:val="006F5C9D"/>
    <w:rsid w:val="00715ED4"/>
    <w:rsid w:val="00717D1C"/>
    <w:rsid w:val="00717D84"/>
    <w:rsid w:val="00722627"/>
    <w:rsid w:val="0072568D"/>
    <w:rsid w:val="00727429"/>
    <w:rsid w:val="0073234F"/>
    <w:rsid w:val="00734222"/>
    <w:rsid w:val="00743FAD"/>
    <w:rsid w:val="00747FDA"/>
    <w:rsid w:val="00751F71"/>
    <w:rsid w:val="00755DBB"/>
    <w:rsid w:val="00762C02"/>
    <w:rsid w:val="00765CBD"/>
    <w:rsid w:val="00766573"/>
    <w:rsid w:val="00766741"/>
    <w:rsid w:val="0077561B"/>
    <w:rsid w:val="007810AD"/>
    <w:rsid w:val="00790E4A"/>
    <w:rsid w:val="007934BD"/>
    <w:rsid w:val="00797981"/>
    <w:rsid w:val="007A3722"/>
    <w:rsid w:val="007A4B55"/>
    <w:rsid w:val="007B3C32"/>
    <w:rsid w:val="007B7AE0"/>
    <w:rsid w:val="007C0149"/>
    <w:rsid w:val="007C3050"/>
    <w:rsid w:val="007C5A44"/>
    <w:rsid w:val="007D142A"/>
    <w:rsid w:val="007D2BB8"/>
    <w:rsid w:val="007D5C73"/>
    <w:rsid w:val="007D5CF5"/>
    <w:rsid w:val="007E008B"/>
    <w:rsid w:val="007E5AD8"/>
    <w:rsid w:val="007E5BDE"/>
    <w:rsid w:val="007E7212"/>
    <w:rsid w:val="007F1AF7"/>
    <w:rsid w:val="007F4393"/>
    <w:rsid w:val="007F6447"/>
    <w:rsid w:val="0080296D"/>
    <w:rsid w:val="00803380"/>
    <w:rsid w:val="00805478"/>
    <w:rsid w:val="008060E5"/>
    <w:rsid w:val="00811E02"/>
    <w:rsid w:val="00825846"/>
    <w:rsid w:val="008267D5"/>
    <w:rsid w:val="0083348D"/>
    <w:rsid w:val="00833D2B"/>
    <w:rsid w:val="00834C50"/>
    <w:rsid w:val="008474AD"/>
    <w:rsid w:val="00847A57"/>
    <w:rsid w:val="008539C4"/>
    <w:rsid w:val="00854A13"/>
    <w:rsid w:val="00854C9E"/>
    <w:rsid w:val="00864980"/>
    <w:rsid w:val="00865E5D"/>
    <w:rsid w:val="00890173"/>
    <w:rsid w:val="00890372"/>
    <w:rsid w:val="008A3619"/>
    <w:rsid w:val="008B2AAA"/>
    <w:rsid w:val="008B61C3"/>
    <w:rsid w:val="008C043F"/>
    <w:rsid w:val="008C7482"/>
    <w:rsid w:val="008D1B3E"/>
    <w:rsid w:val="008D482D"/>
    <w:rsid w:val="008E4146"/>
    <w:rsid w:val="008E716D"/>
    <w:rsid w:val="008E7875"/>
    <w:rsid w:val="008F302E"/>
    <w:rsid w:val="008F3B55"/>
    <w:rsid w:val="008F74ED"/>
    <w:rsid w:val="00901AC1"/>
    <w:rsid w:val="00905B69"/>
    <w:rsid w:val="00910641"/>
    <w:rsid w:val="009156EF"/>
    <w:rsid w:val="0091603C"/>
    <w:rsid w:val="00934A39"/>
    <w:rsid w:val="00935771"/>
    <w:rsid w:val="00941932"/>
    <w:rsid w:val="00942C82"/>
    <w:rsid w:val="00943844"/>
    <w:rsid w:val="009439CA"/>
    <w:rsid w:val="00952244"/>
    <w:rsid w:val="00955443"/>
    <w:rsid w:val="00965CBF"/>
    <w:rsid w:val="009744C2"/>
    <w:rsid w:val="00976BD0"/>
    <w:rsid w:val="00981141"/>
    <w:rsid w:val="0098391A"/>
    <w:rsid w:val="00992C60"/>
    <w:rsid w:val="00995380"/>
    <w:rsid w:val="009A1339"/>
    <w:rsid w:val="009A338A"/>
    <w:rsid w:val="009A4A5C"/>
    <w:rsid w:val="009A67D8"/>
    <w:rsid w:val="009A75EB"/>
    <w:rsid w:val="009C17CF"/>
    <w:rsid w:val="009C35FD"/>
    <w:rsid w:val="009C625A"/>
    <w:rsid w:val="009D3853"/>
    <w:rsid w:val="009D43D9"/>
    <w:rsid w:val="009D6CFA"/>
    <w:rsid w:val="009D7B6D"/>
    <w:rsid w:val="009E137E"/>
    <w:rsid w:val="009E7009"/>
    <w:rsid w:val="009E7AB6"/>
    <w:rsid w:val="009F119E"/>
    <w:rsid w:val="009F1B98"/>
    <w:rsid w:val="009F5358"/>
    <w:rsid w:val="009F7CAB"/>
    <w:rsid w:val="00A04C33"/>
    <w:rsid w:val="00A101F0"/>
    <w:rsid w:val="00A12B51"/>
    <w:rsid w:val="00A15D26"/>
    <w:rsid w:val="00A162C0"/>
    <w:rsid w:val="00A16F0C"/>
    <w:rsid w:val="00A17B9E"/>
    <w:rsid w:val="00A2163D"/>
    <w:rsid w:val="00A2404D"/>
    <w:rsid w:val="00A24E98"/>
    <w:rsid w:val="00A27C57"/>
    <w:rsid w:val="00A30342"/>
    <w:rsid w:val="00A35ADB"/>
    <w:rsid w:val="00A35EA6"/>
    <w:rsid w:val="00A40EA6"/>
    <w:rsid w:val="00A450AE"/>
    <w:rsid w:val="00A4714B"/>
    <w:rsid w:val="00A5118F"/>
    <w:rsid w:val="00A6022E"/>
    <w:rsid w:val="00A715AE"/>
    <w:rsid w:val="00A76C23"/>
    <w:rsid w:val="00A80CF4"/>
    <w:rsid w:val="00A828A1"/>
    <w:rsid w:val="00A83DBF"/>
    <w:rsid w:val="00A93267"/>
    <w:rsid w:val="00A934CD"/>
    <w:rsid w:val="00A93B19"/>
    <w:rsid w:val="00A95571"/>
    <w:rsid w:val="00A97FE8"/>
    <w:rsid w:val="00AA314E"/>
    <w:rsid w:val="00AA3C9A"/>
    <w:rsid w:val="00AA6361"/>
    <w:rsid w:val="00AA65A3"/>
    <w:rsid w:val="00AB03A2"/>
    <w:rsid w:val="00AB05EC"/>
    <w:rsid w:val="00AB05FB"/>
    <w:rsid w:val="00AB0983"/>
    <w:rsid w:val="00AB15FC"/>
    <w:rsid w:val="00AB777C"/>
    <w:rsid w:val="00AC67A7"/>
    <w:rsid w:val="00AD1482"/>
    <w:rsid w:val="00AD2A9F"/>
    <w:rsid w:val="00AD378E"/>
    <w:rsid w:val="00AD3BDC"/>
    <w:rsid w:val="00AE0B05"/>
    <w:rsid w:val="00AE36D8"/>
    <w:rsid w:val="00AE4D83"/>
    <w:rsid w:val="00AE5FCE"/>
    <w:rsid w:val="00B071D3"/>
    <w:rsid w:val="00B103A4"/>
    <w:rsid w:val="00B152CC"/>
    <w:rsid w:val="00B2137E"/>
    <w:rsid w:val="00B26041"/>
    <w:rsid w:val="00B33655"/>
    <w:rsid w:val="00B4417A"/>
    <w:rsid w:val="00B44CBF"/>
    <w:rsid w:val="00B454E5"/>
    <w:rsid w:val="00B5087B"/>
    <w:rsid w:val="00B544DB"/>
    <w:rsid w:val="00B55268"/>
    <w:rsid w:val="00B572A1"/>
    <w:rsid w:val="00B61E75"/>
    <w:rsid w:val="00B645E1"/>
    <w:rsid w:val="00B64A70"/>
    <w:rsid w:val="00B6517B"/>
    <w:rsid w:val="00B7731C"/>
    <w:rsid w:val="00B80577"/>
    <w:rsid w:val="00B82796"/>
    <w:rsid w:val="00B93DE8"/>
    <w:rsid w:val="00BA0E80"/>
    <w:rsid w:val="00BA21C7"/>
    <w:rsid w:val="00BA2CC4"/>
    <w:rsid w:val="00BA6E70"/>
    <w:rsid w:val="00BB5217"/>
    <w:rsid w:val="00BC76BF"/>
    <w:rsid w:val="00BD1561"/>
    <w:rsid w:val="00BD2B46"/>
    <w:rsid w:val="00BD69B3"/>
    <w:rsid w:val="00BD6AC8"/>
    <w:rsid w:val="00BE5206"/>
    <w:rsid w:val="00BF240D"/>
    <w:rsid w:val="00BF5451"/>
    <w:rsid w:val="00C00F71"/>
    <w:rsid w:val="00C01882"/>
    <w:rsid w:val="00C0580D"/>
    <w:rsid w:val="00C07204"/>
    <w:rsid w:val="00C1589A"/>
    <w:rsid w:val="00C16CF9"/>
    <w:rsid w:val="00C17D73"/>
    <w:rsid w:val="00C2743E"/>
    <w:rsid w:val="00C2777D"/>
    <w:rsid w:val="00C31024"/>
    <w:rsid w:val="00C31E0B"/>
    <w:rsid w:val="00C36C5A"/>
    <w:rsid w:val="00C41E00"/>
    <w:rsid w:val="00C431DA"/>
    <w:rsid w:val="00C50DC6"/>
    <w:rsid w:val="00C55303"/>
    <w:rsid w:val="00C56454"/>
    <w:rsid w:val="00C56606"/>
    <w:rsid w:val="00C62FAB"/>
    <w:rsid w:val="00C6579E"/>
    <w:rsid w:val="00C75B7B"/>
    <w:rsid w:val="00C77B35"/>
    <w:rsid w:val="00C81C0D"/>
    <w:rsid w:val="00C918F9"/>
    <w:rsid w:val="00C94F78"/>
    <w:rsid w:val="00C97090"/>
    <w:rsid w:val="00C974A7"/>
    <w:rsid w:val="00CA5013"/>
    <w:rsid w:val="00CA59B8"/>
    <w:rsid w:val="00CA5AA9"/>
    <w:rsid w:val="00CA689C"/>
    <w:rsid w:val="00CB32F9"/>
    <w:rsid w:val="00CB634C"/>
    <w:rsid w:val="00CB732E"/>
    <w:rsid w:val="00CC4D4E"/>
    <w:rsid w:val="00CC6A2F"/>
    <w:rsid w:val="00CD165F"/>
    <w:rsid w:val="00CD31BF"/>
    <w:rsid w:val="00CE0838"/>
    <w:rsid w:val="00CE13B1"/>
    <w:rsid w:val="00CF3DBE"/>
    <w:rsid w:val="00D01F76"/>
    <w:rsid w:val="00D042E4"/>
    <w:rsid w:val="00D11615"/>
    <w:rsid w:val="00D124D0"/>
    <w:rsid w:val="00D202CF"/>
    <w:rsid w:val="00D242E3"/>
    <w:rsid w:val="00D24878"/>
    <w:rsid w:val="00D27F6C"/>
    <w:rsid w:val="00D30A8D"/>
    <w:rsid w:val="00D34C13"/>
    <w:rsid w:val="00D3788F"/>
    <w:rsid w:val="00D41914"/>
    <w:rsid w:val="00D42191"/>
    <w:rsid w:val="00D45997"/>
    <w:rsid w:val="00D52AAF"/>
    <w:rsid w:val="00D55AB6"/>
    <w:rsid w:val="00D61996"/>
    <w:rsid w:val="00D6486E"/>
    <w:rsid w:val="00D7039F"/>
    <w:rsid w:val="00D732F0"/>
    <w:rsid w:val="00D7363A"/>
    <w:rsid w:val="00D73C39"/>
    <w:rsid w:val="00D73D26"/>
    <w:rsid w:val="00D74108"/>
    <w:rsid w:val="00D8179C"/>
    <w:rsid w:val="00D92410"/>
    <w:rsid w:val="00D94100"/>
    <w:rsid w:val="00D97A95"/>
    <w:rsid w:val="00D97DAE"/>
    <w:rsid w:val="00DA581F"/>
    <w:rsid w:val="00DB2CA5"/>
    <w:rsid w:val="00DC080B"/>
    <w:rsid w:val="00DC0E2A"/>
    <w:rsid w:val="00DC2185"/>
    <w:rsid w:val="00DD066D"/>
    <w:rsid w:val="00DD0E22"/>
    <w:rsid w:val="00DD10F8"/>
    <w:rsid w:val="00DE238C"/>
    <w:rsid w:val="00DE7754"/>
    <w:rsid w:val="00DF14AE"/>
    <w:rsid w:val="00DF3371"/>
    <w:rsid w:val="00DF713A"/>
    <w:rsid w:val="00E01071"/>
    <w:rsid w:val="00E01114"/>
    <w:rsid w:val="00E125BE"/>
    <w:rsid w:val="00E2176E"/>
    <w:rsid w:val="00E22A59"/>
    <w:rsid w:val="00E3533E"/>
    <w:rsid w:val="00E455F9"/>
    <w:rsid w:val="00E457F8"/>
    <w:rsid w:val="00E5012C"/>
    <w:rsid w:val="00E57E12"/>
    <w:rsid w:val="00E62C29"/>
    <w:rsid w:val="00E67A3A"/>
    <w:rsid w:val="00E7409D"/>
    <w:rsid w:val="00E753E6"/>
    <w:rsid w:val="00E77BB7"/>
    <w:rsid w:val="00E822CC"/>
    <w:rsid w:val="00E838BC"/>
    <w:rsid w:val="00E9101B"/>
    <w:rsid w:val="00E930A7"/>
    <w:rsid w:val="00E9349D"/>
    <w:rsid w:val="00E95B09"/>
    <w:rsid w:val="00EA3F19"/>
    <w:rsid w:val="00EA6B75"/>
    <w:rsid w:val="00EA721B"/>
    <w:rsid w:val="00EA7688"/>
    <w:rsid w:val="00EC28EF"/>
    <w:rsid w:val="00EC2D4D"/>
    <w:rsid w:val="00EC3B34"/>
    <w:rsid w:val="00EC5C10"/>
    <w:rsid w:val="00EC6A1E"/>
    <w:rsid w:val="00ED09D3"/>
    <w:rsid w:val="00ED5FC1"/>
    <w:rsid w:val="00ED649C"/>
    <w:rsid w:val="00ED7908"/>
    <w:rsid w:val="00EE392C"/>
    <w:rsid w:val="00EE6A00"/>
    <w:rsid w:val="00EE6ED4"/>
    <w:rsid w:val="00EF304B"/>
    <w:rsid w:val="00EF4A15"/>
    <w:rsid w:val="00EF4E10"/>
    <w:rsid w:val="00EF50B0"/>
    <w:rsid w:val="00EF56FD"/>
    <w:rsid w:val="00EF5985"/>
    <w:rsid w:val="00EF5FE5"/>
    <w:rsid w:val="00EF6A85"/>
    <w:rsid w:val="00F1592E"/>
    <w:rsid w:val="00F17A75"/>
    <w:rsid w:val="00F20334"/>
    <w:rsid w:val="00F22C9B"/>
    <w:rsid w:val="00F233EB"/>
    <w:rsid w:val="00F32C44"/>
    <w:rsid w:val="00F33C63"/>
    <w:rsid w:val="00F35CC7"/>
    <w:rsid w:val="00F365ED"/>
    <w:rsid w:val="00F37DF7"/>
    <w:rsid w:val="00F4001E"/>
    <w:rsid w:val="00F55619"/>
    <w:rsid w:val="00F55DDF"/>
    <w:rsid w:val="00F6027F"/>
    <w:rsid w:val="00F63BE5"/>
    <w:rsid w:val="00F66639"/>
    <w:rsid w:val="00F669F8"/>
    <w:rsid w:val="00F716E9"/>
    <w:rsid w:val="00F74A47"/>
    <w:rsid w:val="00F755CB"/>
    <w:rsid w:val="00F776E1"/>
    <w:rsid w:val="00F80081"/>
    <w:rsid w:val="00F826AE"/>
    <w:rsid w:val="00F83108"/>
    <w:rsid w:val="00F84256"/>
    <w:rsid w:val="00F875CF"/>
    <w:rsid w:val="00F87FAF"/>
    <w:rsid w:val="00F926C7"/>
    <w:rsid w:val="00F958F5"/>
    <w:rsid w:val="00FA0B4A"/>
    <w:rsid w:val="00FA565E"/>
    <w:rsid w:val="00FB0F1E"/>
    <w:rsid w:val="00FB752D"/>
    <w:rsid w:val="00FC31F5"/>
    <w:rsid w:val="00FC4A4F"/>
    <w:rsid w:val="00FD1787"/>
    <w:rsid w:val="00FD3E1A"/>
    <w:rsid w:val="00FD5B08"/>
    <w:rsid w:val="00FE1B1D"/>
    <w:rsid w:val="00FE2E4E"/>
    <w:rsid w:val="00FE31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8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7D4"/>
    <w:pPr>
      <w:spacing w:after="200" w:line="276" w:lineRule="auto"/>
    </w:pPr>
    <w:rPr>
      <w:sz w:val="22"/>
      <w:szCs w:val="22"/>
      <w:lang w:eastAsia="en-US"/>
    </w:rPr>
  </w:style>
  <w:style w:type="paragraph" w:styleId="Heading1">
    <w:name w:val="heading 1"/>
    <w:aliases w:val="NASLOV"/>
    <w:basedOn w:val="Normal"/>
    <w:next w:val="Normal"/>
    <w:link w:val="Heading1Char"/>
    <w:autoRedefine/>
    <w:qFormat/>
    <w:rsid w:val="00107ED0"/>
    <w:pPr>
      <w:keepNext/>
      <w:spacing w:before="240" w:after="60" w:line="260" w:lineRule="exact"/>
      <w:outlineLvl w:val="0"/>
    </w:pPr>
    <w:rPr>
      <w:rFonts w:ascii="Arial" w:eastAsia="Times New Roman" w:hAnsi="Arial"/>
      <w:b/>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link w:val="Heading1"/>
    <w:rsid w:val="00107ED0"/>
    <w:rPr>
      <w:rFonts w:ascii="Arial" w:eastAsia="Times New Roman" w:hAnsi="Arial"/>
      <w:b/>
      <w:kern w:val="32"/>
      <w:sz w:val="28"/>
      <w:szCs w:val="32"/>
    </w:rPr>
  </w:style>
  <w:style w:type="paragraph" w:styleId="Header">
    <w:name w:val="header"/>
    <w:basedOn w:val="Normal"/>
    <w:link w:val="HeaderChar"/>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HeaderChar">
    <w:name w:val="Header Char"/>
    <w:link w:val="Header"/>
    <w:rsid w:val="00107ED0"/>
    <w:rPr>
      <w:rFonts w:ascii="Arial" w:eastAsia="Times New Roman" w:hAnsi="Arial"/>
      <w:szCs w:val="24"/>
      <w:lang w:eastAsia="en-US"/>
    </w:rPr>
  </w:style>
  <w:style w:type="paragraph" w:styleId="Footer">
    <w:name w:val="footer"/>
    <w:basedOn w:val="Normal"/>
    <w:link w:val="FooterChar"/>
    <w:semiHidden/>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FooterChar">
    <w:name w:val="Footer Char"/>
    <w:link w:val="Footer"/>
    <w:semiHidden/>
    <w:rsid w:val="00107ED0"/>
    <w:rPr>
      <w:rFonts w:ascii="Arial" w:eastAsia="Times New Roman" w:hAnsi="Arial"/>
      <w:szCs w:val="24"/>
      <w:lang w:eastAsia="en-US"/>
    </w:rPr>
  </w:style>
  <w:style w:type="paragraph" w:styleId="DocumentMap">
    <w:name w:val="Document Map"/>
    <w:basedOn w:val="Normal"/>
    <w:link w:val="DocumentMapChar"/>
    <w:rsid w:val="00107ED0"/>
    <w:pPr>
      <w:spacing w:after="0" w:line="260" w:lineRule="exact"/>
    </w:pPr>
    <w:rPr>
      <w:rFonts w:ascii="Tahoma" w:eastAsia="Times New Roman" w:hAnsi="Tahoma"/>
      <w:sz w:val="16"/>
      <w:szCs w:val="16"/>
      <w:lang w:val="x-none"/>
    </w:rPr>
  </w:style>
  <w:style w:type="character" w:customStyle="1" w:styleId="DocumentMapChar">
    <w:name w:val="Document Map Char"/>
    <w:link w:val="DocumentMap"/>
    <w:rsid w:val="00107ED0"/>
    <w:rPr>
      <w:rFonts w:ascii="Tahoma" w:eastAsia="Times New Roman" w:hAnsi="Tahoma" w:cs="Tahoma"/>
      <w:sz w:val="16"/>
      <w:szCs w:val="16"/>
      <w:lang w:eastAsia="en-US"/>
    </w:rPr>
  </w:style>
  <w:style w:type="table" w:styleId="TableGrid">
    <w:name w:val="Table Grid"/>
    <w:basedOn w:val="TableNormal"/>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ormal"/>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yperlink">
    <w:name w:val="Hyperlink"/>
    <w:rsid w:val="00107ED0"/>
    <w:rPr>
      <w:color w:val="0000FF"/>
      <w:u w:val="single"/>
    </w:rPr>
  </w:style>
  <w:style w:type="paragraph" w:customStyle="1" w:styleId="podpisi">
    <w:name w:val="podpisi"/>
    <w:basedOn w:val="Normal"/>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ormal"/>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ormal"/>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ormal"/>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ormal"/>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ormal"/>
    <w:link w:val="AlineazaodstavkomZnak"/>
    <w:qFormat/>
    <w:rsid w:val="00107ED0"/>
    <w:pPr>
      <w:numPr>
        <w:numId w:val="7"/>
      </w:numPr>
      <w:overflowPunct w:val="0"/>
      <w:autoSpaceDE w:val="0"/>
      <w:autoSpaceDN w:val="0"/>
      <w:adjustRightInd w:val="0"/>
      <w:spacing w:after="0" w:line="200" w:lineRule="exact"/>
      <w:ind w:left="709" w:hanging="284"/>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PageNumber">
    <w:name w:val="page number"/>
    <w:rsid w:val="00107ED0"/>
  </w:style>
  <w:style w:type="paragraph" w:styleId="FootnoteText">
    <w:name w:val="footnote text"/>
    <w:basedOn w:val="Normal"/>
    <w:link w:val="FootnoteTextChar"/>
    <w:uiPriority w:val="99"/>
    <w:rsid w:val="00107ED0"/>
    <w:pPr>
      <w:spacing w:after="0" w:line="260" w:lineRule="exact"/>
    </w:pPr>
    <w:rPr>
      <w:rFonts w:ascii="Arial" w:eastAsia="Times New Roman" w:hAnsi="Arial"/>
      <w:sz w:val="20"/>
      <w:szCs w:val="20"/>
      <w:lang w:val="x-none"/>
    </w:rPr>
  </w:style>
  <w:style w:type="character" w:customStyle="1" w:styleId="FootnoteTextChar">
    <w:name w:val="Footnote Text Char"/>
    <w:link w:val="FootnoteText"/>
    <w:semiHidden/>
    <w:rsid w:val="00107ED0"/>
    <w:rPr>
      <w:rFonts w:ascii="Arial" w:eastAsia="Times New Roman" w:hAnsi="Arial"/>
      <w:lang w:eastAsia="en-US"/>
    </w:rPr>
  </w:style>
  <w:style w:type="character" w:styleId="FootnoteReference">
    <w:name w:val="footnote reference"/>
    <w:aliases w:val=" Znak Znak"/>
    <w:uiPriority w:val="99"/>
    <w:rsid w:val="00107ED0"/>
    <w:rPr>
      <w:vertAlign w:val="superscript"/>
    </w:rPr>
  </w:style>
  <w:style w:type="character" w:styleId="CommentReference">
    <w:name w:val="annotation reference"/>
    <w:semiHidden/>
    <w:rsid w:val="00107ED0"/>
    <w:rPr>
      <w:sz w:val="16"/>
      <w:szCs w:val="16"/>
    </w:rPr>
  </w:style>
  <w:style w:type="paragraph" w:styleId="CommentText">
    <w:name w:val="annotation text"/>
    <w:basedOn w:val="Normal"/>
    <w:link w:val="CommentTextChar"/>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rPr>
  </w:style>
  <w:style w:type="character" w:customStyle="1" w:styleId="CommentTextChar">
    <w:name w:val="Comment Text Char"/>
    <w:link w:val="CommentText"/>
    <w:semiHidden/>
    <w:rsid w:val="00107ED0"/>
    <w:rPr>
      <w:rFonts w:ascii="Times New Roman" w:eastAsia="Times New Roman" w:hAnsi="Times New Roman"/>
      <w:lang w:eastAsia="en-US"/>
    </w:rPr>
  </w:style>
  <w:style w:type="paragraph" w:styleId="BalloonText">
    <w:name w:val="Balloon Text"/>
    <w:basedOn w:val="Normal"/>
    <w:link w:val="BalloonTextChar"/>
    <w:semiHidden/>
    <w:rsid w:val="00107ED0"/>
    <w:pPr>
      <w:spacing w:after="0" w:line="260" w:lineRule="exact"/>
    </w:pPr>
    <w:rPr>
      <w:rFonts w:ascii="Tahoma" w:eastAsia="Times New Roman" w:hAnsi="Tahoma"/>
      <w:sz w:val="16"/>
      <w:szCs w:val="16"/>
      <w:lang w:val="x-none"/>
    </w:rPr>
  </w:style>
  <w:style w:type="character" w:customStyle="1" w:styleId="BalloonTextChar">
    <w:name w:val="Balloon Text Char"/>
    <w:link w:val="BalloonText"/>
    <w:semiHidden/>
    <w:rsid w:val="00107ED0"/>
    <w:rPr>
      <w:rFonts w:ascii="Tahoma" w:eastAsia="Times New Roman" w:hAnsi="Tahoma" w:cs="Tahoma"/>
      <w:sz w:val="16"/>
      <w:szCs w:val="16"/>
      <w:lang w:eastAsia="en-US"/>
    </w:rPr>
  </w:style>
  <w:style w:type="paragraph" w:customStyle="1" w:styleId="Par-number1">
    <w:name w:val="Par-number 1."/>
    <w:basedOn w:val="Normal"/>
    <w:next w:val="Normal"/>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ListParagraph">
    <w:name w:val="List Paragraph"/>
    <w:basedOn w:val="Normal"/>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ormal"/>
    <w:next w:val="Normal"/>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CommentSubject">
    <w:name w:val="annotation subject"/>
    <w:basedOn w:val="CommentText"/>
    <w:next w:val="CommentText"/>
    <w:link w:val="CommentSubjectChar"/>
    <w:rsid w:val="00107ED0"/>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link w:val="CommentSubject"/>
    <w:rsid w:val="00107ED0"/>
    <w:rPr>
      <w:rFonts w:ascii="Arial" w:eastAsia="Times New Roman" w:hAnsi="Arial"/>
      <w:b/>
      <w:bCs/>
      <w:lang w:eastAsia="en-US"/>
    </w:rPr>
  </w:style>
  <w:style w:type="paragraph" w:customStyle="1" w:styleId="Odstavek">
    <w:name w:val="Odstavek"/>
    <w:basedOn w:val="Normal"/>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ormal"/>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ormal"/>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lang w:val="x-none" w:eastAsia="x-none"/>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ormal"/>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val="x-none" w:eastAsia="x-none"/>
    </w:rPr>
  </w:style>
  <w:style w:type="paragraph" w:customStyle="1" w:styleId="Odsek">
    <w:name w:val="Odsek"/>
    <w:basedOn w:val="Oddelek"/>
    <w:link w:val="OdsekZnak"/>
    <w:qFormat/>
    <w:rsid w:val="00107ED0"/>
    <w:pPr>
      <w:numPr>
        <w:numId w:val="1"/>
      </w:numPr>
    </w:pPr>
  </w:style>
  <w:style w:type="character" w:customStyle="1" w:styleId="OdsekZnak">
    <w:name w:val="Odsek Znak"/>
    <w:link w:val="Odsek"/>
    <w:rsid w:val="00107ED0"/>
    <w:rPr>
      <w:rFonts w:ascii="Arial" w:eastAsia="Times New Roman" w:hAnsi="Arial"/>
      <w:b/>
      <w:sz w:val="22"/>
      <w:szCs w:val="22"/>
      <w:lang w:val="x-none" w:eastAsia="x-none"/>
    </w:rPr>
  </w:style>
  <w:style w:type="paragraph" w:customStyle="1" w:styleId="len">
    <w:name w:val="Člen"/>
    <w:basedOn w:val="Normal"/>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BodyTextIndent">
    <w:name w:val="Body Text Indent"/>
    <w:basedOn w:val="Normal"/>
    <w:link w:val="BodyTextIndentChar"/>
    <w:rsid w:val="00AA3C9A"/>
    <w:pPr>
      <w:spacing w:after="120" w:line="260" w:lineRule="atLeast"/>
      <w:ind w:left="283"/>
    </w:pPr>
    <w:rPr>
      <w:rFonts w:ascii="Arial" w:eastAsia="Times New Roman" w:hAnsi="Arial"/>
      <w:sz w:val="20"/>
      <w:szCs w:val="24"/>
      <w:lang w:val="en-US"/>
    </w:rPr>
  </w:style>
  <w:style w:type="character" w:customStyle="1" w:styleId="BodyTextIndentChar">
    <w:name w:val="Body Text Indent Char"/>
    <w:link w:val="BodyTextIndent"/>
    <w:rsid w:val="00AA3C9A"/>
    <w:rPr>
      <w:rFonts w:ascii="Arial" w:eastAsia="Times New Roman" w:hAnsi="Arial"/>
      <w:szCs w:val="24"/>
      <w:lang w:val="en-US" w:eastAsia="en-US"/>
    </w:rPr>
  </w:style>
  <w:style w:type="paragraph" w:customStyle="1" w:styleId="len1">
    <w:name w:val="len1"/>
    <w:basedOn w:val="Normal"/>
    <w:rsid w:val="00E7409D"/>
    <w:pPr>
      <w:spacing w:before="480" w:after="0" w:line="240" w:lineRule="auto"/>
      <w:jc w:val="center"/>
    </w:pPr>
    <w:rPr>
      <w:rFonts w:ascii="Arial" w:eastAsia="Times New Roman" w:hAnsi="Arial" w:cs="Arial"/>
      <w:b/>
      <w:bCs/>
      <w:lang w:eastAsia="sl-SI"/>
    </w:rPr>
  </w:style>
  <w:style w:type="paragraph" w:customStyle="1" w:styleId="odstavek1">
    <w:name w:val="odstavek1"/>
    <w:basedOn w:val="Normal"/>
    <w:rsid w:val="00E7409D"/>
    <w:pPr>
      <w:spacing w:before="240" w:after="0" w:line="240" w:lineRule="auto"/>
      <w:ind w:firstLine="1021"/>
      <w:jc w:val="both"/>
    </w:pPr>
    <w:rPr>
      <w:rFonts w:ascii="Arial" w:eastAsia="Times New Roman" w:hAnsi="Arial" w:cs="Arial"/>
      <w:lang w:eastAsia="sl-SI"/>
    </w:rPr>
  </w:style>
  <w:style w:type="paragraph" w:customStyle="1" w:styleId="tevilnatoka1">
    <w:name w:val="tevilnatoka1"/>
    <w:basedOn w:val="Normal"/>
    <w:rsid w:val="00E7409D"/>
    <w:pPr>
      <w:spacing w:after="0" w:line="240" w:lineRule="auto"/>
      <w:ind w:left="425" w:hanging="425"/>
      <w:jc w:val="both"/>
    </w:pPr>
    <w:rPr>
      <w:rFonts w:ascii="Arial" w:eastAsia="Times New Roman" w:hAnsi="Arial" w:cs="Arial"/>
      <w:lang w:eastAsia="sl-SI"/>
    </w:rPr>
  </w:style>
  <w:style w:type="paragraph" w:customStyle="1" w:styleId="lennaslov1">
    <w:name w:val="lennaslov1"/>
    <w:basedOn w:val="Normal"/>
    <w:rsid w:val="00E7409D"/>
    <w:pPr>
      <w:spacing w:after="0" w:line="240" w:lineRule="auto"/>
      <w:jc w:val="center"/>
    </w:pPr>
    <w:rPr>
      <w:rFonts w:ascii="Arial" w:eastAsia="Times New Roman" w:hAnsi="Arial" w:cs="Arial"/>
      <w:b/>
      <w:bCs/>
      <w:lang w:eastAsia="sl-SI"/>
    </w:rPr>
  </w:style>
  <w:style w:type="paragraph" w:customStyle="1" w:styleId="zamaknjenadolobaprvinivo1">
    <w:name w:val="zamaknjenadolobaprvinivo1"/>
    <w:basedOn w:val="Normal"/>
    <w:rsid w:val="00E7409D"/>
    <w:pPr>
      <w:spacing w:after="0" w:line="240" w:lineRule="auto"/>
      <w:jc w:val="both"/>
    </w:pPr>
    <w:rPr>
      <w:rFonts w:ascii="Arial" w:eastAsia="Times New Roman" w:hAnsi="Arial" w:cs="Arial"/>
      <w:lang w:eastAsia="sl-SI"/>
    </w:rPr>
  </w:style>
  <w:style w:type="paragraph" w:customStyle="1" w:styleId="Standard">
    <w:name w:val="Standard"/>
    <w:rsid w:val="001B0A6D"/>
    <w:pPr>
      <w:suppressAutoHyphens/>
      <w:autoSpaceDN w:val="0"/>
      <w:spacing w:after="200" w:line="276" w:lineRule="auto"/>
      <w:textAlignment w:val="baseline"/>
    </w:pPr>
    <w:rPr>
      <w:rFonts w:eastAsia="SimSun" w:cs="F"/>
      <w:kern w:val="3"/>
      <w:sz w:val="22"/>
      <w:szCs w:val="22"/>
      <w:lang w:eastAsia="en-US"/>
    </w:rPr>
  </w:style>
  <w:style w:type="paragraph" w:styleId="NoSpacing">
    <w:name w:val="No Spacing"/>
    <w:rsid w:val="001B0A6D"/>
    <w:pPr>
      <w:widowControl w:val="0"/>
      <w:suppressAutoHyphens/>
      <w:autoSpaceDN w:val="0"/>
      <w:textAlignment w:val="baseline"/>
    </w:pPr>
    <w:rPr>
      <w:rFonts w:eastAsia="SimSun" w:cs="F"/>
      <w:kern w:val="3"/>
      <w:sz w:val="22"/>
      <w:szCs w:val="22"/>
      <w:lang w:eastAsia="en-US"/>
    </w:rPr>
  </w:style>
  <w:style w:type="paragraph" w:customStyle="1" w:styleId="tevilnatoka">
    <w:name w:val="Številčna točka"/>
    <w:basedOn w:val="Normal"/>
    <w:link w:val="tevilnatokaZnak"/>
    <w:qFormat/>
    <w:rsid w:val="00766741"/>
    <w:pPr>
      <w:numPr>
        <w:numId w:val="41"/>
      </w:numPr>
      <w:tabs>
        <w:tab w:val="left" w:pos="540"/>
        <w:tab w:val="left" w:pos="900"/>
      </w:tabs>
      <w:spacing w:after="0" w:line="240" w:lineRule="auto"/>
      <w:jc w:val="both"/>
    </w:pPr>
    <w:rPr>
      <w:rFonts w:ascii="Arial" w:eastAsia="Times New Roman" w:hAnsi="Arial" w:cs="Arial"/>
      <w:lang w:eastAsia="sl-SI"/>
    </w:rPr>
  </w:style>
  <w:style w:type="character" w:customStyle="1" w:styleId="tevilnatokaZnak">
    <w:name w:val="Številčna točka Znak"/>
    <w:link w:val="tevilnatoka"/>
    <w:rsid w:val="00766741"/>
    <w:rPr>
      <w:rFonts w:ascii="Arial" w:eastAsia="Times New Roman" w:hAnsi="Arial" w:cs="Arial"/>
      <w:sz w:val="22"/>
      <w:szCs w:val="22"/>
    </w:rPr>
  </w:style>
  <w:style w:type="paragraph" w:customStyle="1" w:styleId="alineazaodstavkom1">
    <w:name w:val="alineazaodstavkom1"/>
    <w:basedOn w:val="Normal"/>
    <w:rsid w:val="005D2FD3"/>
    <w:pPr>
      <w:spacing w:after="0" w:line="240" w:lineRule="auto"/>
      <w:ind w:left="425" w:hanging="425"/>
      <w:jc w:val="both"/>
    </w:pPr>
    <w:rPr>
      <w:rFonts w:ascii="Arial" w:eastAsia="Times New Roman" w:hAnsi="Arial" w:cs="Arial"/>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7D4"/>
    <w:pPr>
      <w:spacing w:after="200" w:line="276" w:lineRule="auto"/>
    </w:pPr>
    <w:rPr>
      <w:sz w:val="22"/>
      <w:szCs w:val="22"/>
      <w:lang w:eastAsia="en-US"/>
    </w:rPr>
  </w:style>
  <w:style w:type="paragraph" w:styleId="Heading1">
    <w:name w:val="heading 1"/>
    <w:aliases w:val="NASLOV"/>
    <w:basedOn w:val="Normal"/>
    <w:next w:val="Normal"/>
    <w:link w:val="Heading1Char"/>
    <w:autoRedefine/>
    <w:qFormat/>
    <w:rsid w:val="00107ED0"/>
    <w:pPr>
      <w:keepNext/>
      <w:spacing w:before="240" w:after="60" w:line="260" w:lineRule="exact"/>
      <w:outlineLvl w:val="0"/>
    </w:pPr>
    <w:rPr>
      <w:rFonts w:ascii="Arial" w:eastAsia="Times New Roman" w:hAnsi="Arial"/>
      <w:b/>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link w:val="Heading1"/>
    <w:rsid w:val="00107ED0"/>
    <w:rPr>
      <w:rFonts w:ascii="Arial" w:eastAsia="Times New Roman" w:hAnsi="Arial"/>
      <w:b/>
      <w:kern w:val="32"/>
      <w:sz w:val="28"/>
      <w:szCs w:val="32"/>
    </w:rPr>
  </w:style>
  <w:style w:type="paragraph" w:styleId="Header">
    <w:name w:val="header"/>
    <w:basedOn w:val="Normal"/>
    <w:link w:val="HeaderChar"/>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HeaderChar">
    <w:name w:val="Header Char"/>
    <w:link w:val="Header"/>
    <w:rsid w:val="00107ED0"/>
    <w:rPr>
      <w:rFonts w:ascii="Arial" w:eastAsia="Times New Roman" w:hAnsi="Arial"/>
      <w:szCs w:val="24"/>
      <w:lang w:eastAsia="en-US"/>
    </w:rPr>
  </w:style>
  <w:style w:type="paragraph" w:styleId="Footer">
    <w:name w:val="footer"/>
    <w:basedOn w:val="Normal"/>
    <w:link w:val="FooterChar"/>
    <w:semiHidden/>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FooterChar">
    <w:name w:val="Footer Char"/>
    <w:link w:val="Footer"/>
    <w:semiHidden/>
    <w:rsid w:val="00107ED0"/>
    <w:rPr>
      <w:rFonts w:ascii="Arial" w:eastAsia="Times New Roman" w:hAnsi="Arial"/>
      <w:szCs w:val="24"/>
      <w:lang w:eastAsia="en-US"/>
    </w:rPr>
  </w:style>
  <w:style w:type="paragraph" w:styleId="DocumentMap">
    <w:name w:val="Document Map"/>
    <w:basedOn w:val="Normal"/>
    <w:link w:val="DocumentMapChar"/>
    <w:rsid w:val="00107ED0"/>
    <w:pPr>
      <w:spacing w:after="0" w:line="260" w:lineRule="exact"/>
    </w:pPr>
    <w:rPr>
      <w:rFonts w:ascii="Tahoma" w:eastAsia="Times New Roman" w:hAnsi="Tahoma"/>
      <w:sz w:val="16"/>
      <w:szCs w:val="16"/>
      <w:lang w:val="x-none"/>
    </w:rPr>
  </w:style>
  <w:style w:type="character" w:customStyle="1" w:styleId="DocumentMapChar">
    <w:name w:val="Document Map Char"/>
    <w:link w:val="DocumentMap"/>
    <w:rsid w:val="00107ED0"/>
    <w:rPr>
      <w:rFonts w:ascii="Tahoma" w:eastAsia="Times New Roman" w:hAnsi="Tahoma" w:cs="Tahoma"/>
      <w:sz w:val="16"/>
      <w:szCs w:val="16"/>
      <w:lang w:eastAsia="en-US"/>
    </w:rPr>
  </w:style>
  <w:style w:type="table" w:styleId="TableGrid">
    <w:name w:val="Table Grid"/>
    <w:basedOn w:val="TableNormal"/>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ormal"/>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yperlink">
    <w:name w:val="Hyperlink"/>
    <w:rsid w:val="00107ED0"/>
    <w:rPr>
      <w:color w:val="0000FF"/>
      <w:u w:val="single"/>
    </w:rPr>
  </w:style>
  <w:style w:type="paragraph" w:customStyle="1" w:styleId="podpisi">
    <w:name w:val="podpisi"/>
    <w:basedOn w:val="Normal"/>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ormal"/>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ormal"/>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ormal"/>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ormal"/>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ormal"/>
    <w:link w:val="AlineazaodstavkomZnak"/>
    <w:qFormat/>
    <w:rsid w:val="00107ED0"/>
    <w:pPr>
      <w:numPr>
        <w:numId w:val="7"/>
      </w:numPr>
      <w:overflowPunct w:val="0"/>
      <w:autoSpaceDE w:val="0"/>
      <w:autoSpaceDN w:val="0"/>
      <w:adjustRightInd w:val="0"/>
      <w:spacing w:after="0" w:line="200" w:lineRule="exact"/>
      <w:ind w:left="709" w:hanging="284"/>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PageNumber">
    <w:name w:val="page number"/>
    <w:rsid w:val="00107ED0"/>
  </w:style>
  <w:style w:type="paragraph" w:styleId="FootnoteText">
    <w:name w:val="footnote text"/>
    <w:basedOn w:val="Normal"/>
    <w:link w:val="FootnoteTextChar"/>
    <w:uiPriority w:val="99"/>
    <w:rsid w:val="00107ED0"/>
    <w:pPr>
      <w:spacing w:after="0" w:line="260" w:lineRule="exact"/>
    </w:pPr>
    <w:rPr>
      <w:rFonts w:ascii="Arial" w:eastAsia="Times New Roman" w:hAnsi="Arial"/>
      <w:sz w:val="20"/>
      <w:szCs w:val="20"/>
      <w:lang w:val="x-none"/>
    </w:rPr>
  </w:style>
  <w:style w:type="character" w:customStyle="1" w:styleId="FootnoteTextChar">
    <w:name w:val="Footnote Text Char"/>
    <w:link w:val="FootnoteText"/>
    <w:semiHidden/>
    <w:rsid w:val="00107ED0"/>
    <w:rPr>
      <w:rFonts w:ascii="Arial" w:eastAsia="Times New Roman" w:hAnsi="Arial"/>
      <w:lang w:eastAsia="en-US"/>
    </w:rPr>
  </w:style>
  <w:style w:type="character" w:styleId="FootnoteReference">
    <w:name w:val="footnote reference"/>
    <w:aliases w:val=" Znak Znak"/>
    <w:uiPriority w:val="99"/>
    <w:rsid w:val="00107ED0"/>
    <w:rPr>
      <w:vertAlign w:val="superscript"/>
    </w:rPr>
  </w:style>
  <w:style w:type="character" w:styleId="CommentReference">
    <w:name w:val="annotation reference"/>
    <w:semiHidden/>
    <w:rsid w:val="00107ED0"/>
    <w:rPr>
      <w:sz w:val="16"/>
      <w:szCs w:val="16"/>
    </w:rPr>
  </w:style>
  <w:style w:type="paragraph" w:styleId="CommentText">
    <w:name w:val="annotation text"/>
    <w:basedOn w:val="Normal"/>
    <w:link w:val="CommentTextChar"/>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rPr>
  </w:style>
  <w:style w:type="character" w:customStyle="1" w:styleId="CommentTextChar">
    <w:name w:val="Comment Text Char"/>
    <w:link w:val="CommentText"/>
    <w:semiHidden/>
    <w:rsid w:val="00107ED0"/>
    <w:rPr>
      <w:rFonts w:ascii="Times New Roman" w:eastAsia="Times New Roman" w:hAnsi="Times New Roman"/>
      <w:lang w:eastAsia="en-US"/>
    </w:rPr>
  </w:style>
  <w:style w:type="paragraph" w:styleId="BalloonText">
    <w:name w:val="Balloon Text"/>
    <w:basedOn w:val="Normal"/>
    <w:link w:val="BalloonTextChar"/>
    <w:semiHidden/>
    <w:rsid w:val="00107ED0"/>
    <w:pPr>
      <w:spacing w:after="0" w:line="260" w:lineRule="exact"/>
    </w:pPr>
    <w:rPr>
      <w:rFonts w:ascii="Tahoma" w:eastAsia="Times New Roman" w:hAnsi="Tahoma"/>
      <w:sz w:val="16"/>
      <w:szCs w:val="16"/>
      <w:lang w:val="x-none"/>
    </w:rPr>
  </w:style>
  <w:style w:type="character" w:customStyle="1" w:styleId="BalloonTextChar">
    <w:name w:val="Balloon Text Char"/>
    <w:link w:val="BalloonText"/>
    <w:semiHidden/>
    <w:rsid w:val="00107ED0"/>
    <w:rPr>
      <w:rFonts w:ascii="Tahoma" w:eastAsia="Times New Roman" w:hAnsi="Tahoma" w:cs="Tahoma"/>
      <w:sz w:val="16"/>
      <w:szCs w:val="16"/>
      <w:lang w:eastAsia="en-US"/>
    </w:rPr>
  </w:style>
  <w:style w:type="paragraph" w:customStyle="1" w:styleId="Par-number1">
    <w:name w:val="Par-number 1."/>
    <w:basedOn w:val="Normal"/>
    <w:next w:val="Normal"/>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ListParagraph">
    <w:name w:val="List Paragraph"/>
    <w:basedOn w:val="Normal"/>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ormal"/>
    <w:next w:val="Normal"/>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CommentSubject">
    <w:name w:val="annotation subject"/>
    <w:basedOn w:val="CommentText"/>
    <w:next w:val="CommentText"/>
    <w:link w:val="CommentSubjectChar"/>
    <w:rsid w:val="00107ED0"/>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link w:val="CommentSubject"/>
    <w:rsid w:val="00107ED0"/>
    <w:rPr>
      <w:rFonts w:ascii="Arial" w:eastAsia="Times New Roman" w:hAnsi="Arial"/>
      <w:b/>
      <w:bCs/>
      <w:lang w:eastAsia="en-US"/>
    </w:rPr>
  </w:style>
  <w:style w:type="paragraph" w:customStyle="1" w:styleId="Odstavek">
    <w:name w:val="Odstavek"/>
    <w:basedOn w:val="Normal"/>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ormal"/>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ormal"/>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lang w:val="x-none" w:eastAsia="x-none"/>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ormal"/>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val="x-none" w:eastAsia="x-none"/>
    </w:rPr>
  </w:style>
  <w:style w:type="paragraph" w:customStyle="1" w:styleId="Odsek">
    <w:name w:val="Odsek"/>
    <w:basedOn w:val="Oddelek"/>
    <w:link w:val="OdsekZnak"/>
    <w:qFormat/>
    <w:rsid w:val="00107ED0"/>
    <w:pPr>
      <w:numPr>
        <w:numId w:val="1"/>
      </w:numPr>
    </w:pPr>
  </w:style>
  <w:style w:type="character" w:customStyle="1" w:styleId="OdsekZnak">
    <w:name w:val="Odsek Znak"/>
    <w:link w:val="Odsek"/>
    <w:rsid w:val="00107ED0"/>
    <w:rPr>
      <w:rFonts w:ascii="Arial" w:eastAsia="Times New Roman" w:hAnsi="Arial"/>
      <w:b/>
      <w:sz w:val="22"/>
      <w:szCs w:val="22"/>
      <w:lang w:val="x-none" w:eastAsia="x-none"/>
    </w:rPr>
  </w:style>
  <w:style w:type="paragraph" w:customStyle="1" w:styleId="len">
    <w:name w:val="Člen"/>
    <w:basedOn w:val="Normal"/>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BodyTextIndent">
    <w:name w:val="Body Text Indent"/>
    <w:basedOn w:val="Normal"/>
    <w:link w:val="BodyTextIndentChar"/>
    <w:rsid w:val="00AA3C9A"/>
    <w:pPr>
      <w:spacing w:after="120" w:line="260" w:lineRule="atLeast"/>
      <w:ind w:left="283"/>
    </w:pPr>
    <w:rPr>
      <w:rFonts w:ascii="Arial" w:eastAsia="Times New Roman" w:hAnsi="Arial"/>
      <w:sz w:val="20"/>
      <w:szCs w:val="24"/>
      <w:lang w:val="en-US"/>
    </w:rPr>
  </w:style>
  <w:style w:type="character" w:customStyle="1" w:styleId="BodyTextIndentChar">
    <w:name w:val="Body Text Indent Char"/>
    <w:link w:val="BodyTextIndent"/>
    <w:rsid w:val="00AA3C9A"/>
    <w:rPr>
      <w:rFonts w:ascii="Arial" w:eastAsia="Times New Roman" w:hAnsi="Arial"/>
      <w:szCs w:val="24"/>
      <w:lang w:val="en-US" w:eastAsia="en-US"/>
    </w:rPr>
  </w:style>
  <w:style w:type="paragraph" w:customStyle="1" w:styleId="len1">
    <w:name w:val="len1"/>
    <w:basedOn w:val="Normal"/>
    <w:rsid w:val="00E7409D"/>
    <w:pPr>
      <w:spacing w:before="480" w:after="0" w:line="240" w:lineRule="auto"/>
      <w:jc w:val="center"/>
    </w:pPr>
    <w:rPr>
      <w:rFonts w:ascii="Arial" w:eastAsia="Times New Roman" w:hAnsi="Arial" w:cs="Arial"/>
      <w:b/>
      <w:bCs/>
      <w:lang w:eastAsia="sl-SI"/>
    </w:rPr>
  </w:style>
  <w:style w:type="paragraph" w:customStyle="1" w:styleId="odstavek1">
    <w:name w:val="odstavek1"/>
    <w:basedOn w:val="Normal"/>
    <w:rsid w:val="00E7409D"/>
    <w:pPr>
      <w:spacing w:before="240" w:after="0" w:line="240" w:lineRule="auto"/>
      <w:ind w:firstLine="1021"/>
      <w:jc w:val="both"/>
    </w:pPr>
    <w:rPr>
      <w:rFonts w:ascii="Arial" w:eastAsia="Times New Roman" w:hAnsi="Arial" w:cs="Arial"/>
      <w:lang w:eastAsia="sl-SI"/>
    </w:rPr>
  </w:style>
  <w:style w:type="paragraph" w:customStyle="1" w:styleId="tevilnatoka1">
    <w:name w:val="tevilnatoka1"/>
    <w:basedOn w:val="Normal"/>
    <w:rsid w:val="00E7409D"/>
    <w:pPr>
      <w:spacing w:after="0" w:line="240" w:lineRule="auto"/>
      <w:ind w:left="425" w:hanging="425"/>
      <w:jc w:val="both"/>
    </w:pPr>
    <w:rPr>
      <w:rFonts w:ascii="Arial" w:eastAsia="Times New Roman" w:hAnsi="Arial" w:cs="Arial"/>
      <w:lang w:eastAsia="sl-SI"/>
    </w:rPr>
  </w:style>
  <w:style w:type="paragraph" w:customStyle="1" w:styleId="lennaslov1">
    <w:name w:val="lennaslov1"/>
    <w:basedOn w:val="Normal"/>
    <w:rsid w:val="00E7409D"/>
    <w:pPr>
      <w:spacing w:after="0" w:line="240" w:lineRule="auto"/>
      <w:jc w:val="center"/>
    </w:pPr>
    <w:rPr>
      <w:rFonts w:ascii="Arial" w:eastAsia="Times New Roman" w:hAnsi="Arial" w:cs="Arial"/>
      <w:b/>
      <w:bCs/>
      <w:lang w:eastAsia="sl-SI"/>
    </w:rPr>
  </w:style>
  <w:style w:type="paragraph" w:customStyle="1" w:styleId="zamaknjenadolobaprvinivo1">
    <w:name w:val="zamaknjenadolobaprvinivo1"/>
    <w:basedOn w:val="Normal"/>
    <w:rsid w:val="00E7409D"/>
    <w:pPr>
      <w:spacing w:after="0" w:line="240" w:lineRule="auto"/>
      <w:jc w:val="both"/>
    </w:pPr>
    <w:rPr>
      <w:rFonts w:ascii="Arial" w:eastAsia="Times New Roman" w:hAnsi="Arial" w:cs="Arial"/>
      <w:lang w:eastAsia="sl-SI"/>
    </w:rPr>
  </w:style>
  <w:style w:type="paragraph" w:customStyle="1" w:styleId="Standard">
    <w:name w:val="Standard"/>
    <w:rsid w:val="001B0A6D"/>
    <w:pPr>
      <w:suppressAutoHyphens/>
      <w:autoSpaceDN w:val="0"/>
      <w:spacing w:after="200" w:line="276" w:lineRule="auto"/>
      <w:textAlignment w:val="baseline"/>
    </w:pPr>
    <w:rPr>
      <w:rFonts w:eastAsia="SimSun" w:cs="F"/>
      <w:kern w:val="3"/>
      <w:sz w:val="22"/>
      <w:szCs w:val="22"/>
      <w:lang w:eastAsia="en-US"/>
    </w:rPr>
  </w:style>
  <w:style w:type="paragraph" w:styleId="NoSpacing">
    <w:name w:val="No Spacing"/>
    <w:rsid w:val="001B0A6D"/>
    <w:pPr>
      <w:widowControl w:val="0"/>
      <w:suppressAutoHyphens/>
      <w:autoSpaceDN w:val="0"/>
      <w:textAlignment w:val="baseline"/>
    </w:pPr>
    <w:rPr>
      <w:rFonts w:eastAsia="SimSun" w:cs="F"/>
      <w:kern w:val="3"/>
      <w:sz w:val="22"/>
      <w:szCs w:val="22"/>
      <w:lang w:eastAsia="en-US"/>
    </w:rPr>
  </w:style>
  <w:style w:type="paragraph" w:customStyle="1" w:styleId="tevilnatoka">
    <w:name w:val="Številčna točka"/>
    <w:basedOn w:val="Normal"/>
    <w:link w:val="tevilnatokaZnak"/>
    <w:qFormat/>
    <w:rsid w:val="00766741"/>
    <w:pPr>
      <w:numPr>
        <w:numId w:val="41"/>
      </w:numPr>
      <w:tabs>
        <w:tab w:val="left" w:pos="540"/>
        <w:tab w:val="left" w:pos="900"/>
      </w:tabs>
      <w:spacing w:after="0" w:line="240" w:lineRule="auto"/>
      <w:jc w:val="both"/>
    </w:pPr>
    <w:rPr>
      <w:rFonts w:ascii="Arial" w:eastAsia="Times New Roman" w:hAnsi="Arial" w:cs="Arial"/>
      <w:lang w:eastAsia="sl-SI"/>
    </w:rPr>
  </w:style>
  <w:style w:type="character" w:customStyle="1" w:styleId="tevilnatokaZnak">
    <w:name w:val="Številčna točka Znak"/>
    <w:link w:val="tevilnatoka"/>
    <w:rsid w:val="00766741"/>
    <w:rPr>
      <w:rFonts w:ascii="Arial" w:eastAsia="Times New Roman" w:hAnsi="Arial" w:cs="Arial"/>
      <w:sz w:val="22"/>
      <w:szCs w:val="22"/>
    </w:rPr>
  </w:style>
  <w:style w:type="paragraph" w:customStyle="1" w:styleId="alineazaodstavkom1">
    <w:name w:val="alineazaodstavkom1"/>
    <w:basedOn w:val="Normal"/>
    <w:rsid w:val="005D2FD3"/>
    <w:pPr>
      <w:spacing w:after="0" w:line="240" w:lineRule="auto"/>
      <w:ind w:left="425" w:hanging="425"/>
      <w:jc w:val="both"/>
    </w:pPr>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9218">
      <w:bodyDiv w:val="1"/>
      <w:marLeft w:val="0"/>
      <w:marRight w:val="0"/>
      <w:marTop w:val="0"/>
      <w:marBottom w:val="0"/>
      <w:divBdr>
        <w:top w:val="none" w:sz="0" w:space="0" w:color="auto"/>
        <w:left w:val="none" w:sz="0" w:space="0" w:color="auto"/>
        <w:bottom w:val="none" w:sz="0" w:space="0" w:color="auto"/>
        <w:right w:val="none" w:sz="0" w:space="0" w:color="auto"/>
      </w:divBdr>
      <w:divsChild>
        <w:div w:id="576332198">
          <w:marLeft w:val="0"/>
          <w:marRight w:val="0"/>
          <w:marTop w:val="0"/>
          <w:marBottom w:val="0"/>
          <w:divBdr>
            <w:top w:val="none" w:sz="0" w:space="0" w:color="auto"/>
            <w:left w:val="none" w:sz="0" w:space="0" w:color="auto"/>
            <w:bottom w:val="none" w:sz="0" w:space="0" w:color="auto"/>
            <w:right w:val="none" w:sz="0" w:space="0" w:color="auto"/>
          </w:divBdr>
          <w:divsChild>
            <w:div w:id="1164123776">
              <w:marLeft w:val="0"/>
              <w:marRight w:val="0"/>
              <w:marTop w:val="100"/>
              <w:marBottom w:val="100"/>
              <w:divBdr>
                <w:top w:val="none" w:sz="0" w:space="0" w:color="auto"/>
                <w:left w:val="none" w:sz="0" w:space="0" w:color="auto"/>
                <w:bottom w:val="none" w:sz="0" w:space="0" w:color="auto"/>
                <w:right w:val="none" w:sz="0" w:space="0" w:color="auto"/>
              </w:divBdr>
              <w:divsChild>
                <w:div w:id="1298221333">
                  <w:marLeft w:val="0"/>
                  <w:marRight w:val="0"/>
                  <w:marTop w:val="0"/>
                  <w:marBottom w:val="0"/>
                  <w:divBdr>
                    <w:top w:val="none" w:sz="0" w:space="0" w:color="auto"/>
                    <w:left w:val="none" w:sz="0" w:space="0" w:color="auto"/>
                    <w:bottom w:val="none" w:sz="0" w:space="0" w:color="auto"/>
                    <w:right w:val="none" w:sz="0" w:space="0" w:color="auto"/>
                  </w:divBdr>
                  <w:divsChild>
                    <w:div w:id="549269960">
                      <w:marLeft w:val="0"/>
                      <w:marRight w:val="0"/>
                      <w:marTop w:val="0"/>
                      <w:marBottom w:val="0"/>
                      <w:divBdr>
                        <w:top w:val="none" w:sz="0" w:space="0" w:color="auto"/>
                        <w:left w:val="none" w:sz="0" w:space="0" w:color="auto"/>
                        <w:bottom w:val="none" w:sz="0" w:space="0" w:color="auto"/>
                        <w:right w:val="none" w:sz="0" w:space="0" w:color="auto"/>
                      </w:divBdr>
                      <w:divsChild>
                        <w:div w:id="908803664">
                          <w:marLeft w:val="0"/>
                          <w:marRight w:val="0"/>
                          <w:marTop w:val="0"/>
                          <w:marBottom w:val="0"/>
                          <w:divBdr>
                            <w:top w:val="none" w:sz="0" w:space="0" w:color="auto"/>
                            <w:left w:val="none" w:sz="0" w:space="0" w:color="auto"/>
                            <w:bottom w:val="none" w:sz="0" w:space="0" w:color="auto"/>
                            <w:right w:val="none" w:sz="0" w:space="0" w:color="auto"/>
                          </w:divBdr>
                          <w:divsChild>
                            <w:div w:id="719131177">
                              <w:marLeft w:val="0"/>
                              <w:marRight w:val="0"/>
                              <w:marTop w:val="0"/>
                              <w:marBottom w:val="0"/>
                              <w:divBdr>
                                <w:top w:val="none" w:sz="0" w:space="0" w:color="auto"/>
                                <w:left w:val="none" w:sz="0" w:space="0" w:color="auto"/>
                                <w:bottom w:val="none" w:sz="0" w:space="0" w:color="auto"/>
                                <w:right w:val="none" w:sz="0" w:space="0" w:color="auto"/>
                              </w:divBdr>
                              <w:divsChild>
                                <w:div w:id="444429304">
                                  <w:marLeft w:val="0"/>
                                  <w:marRight w:val="0"/>
                                  <w:marTop w:val="0"/>
                                  <w:marBottom w:val="0"/>
                                  <w:divBdr>
                                    <w:top w:val="none" w:sz="0" w:space="0" w:color="auto"/>
                                    <w:left w:val="none" w:sz="0" w:space="0" w:color="auto"/>
                                    <w:bottom w:val="none" w:sz="0" w:space="0" w:color="auto"/>
                                    <w:right w:val="none" w:sz="0" w:space="0" w:color="auto"/>
                                  </w:divBdr>
                                  <w:divsChild>
                                    <w:div w:id="771784473">
                                      <w:marLeft w:val="0"/>
                                      <w:marRight w:val="0"/>
                                      <w:marTop w:val="0"/>
                                      <w:marBottom w:val="0"/>
                                      <w:divBdr>
                                        <w:top w:val="none" w:sz="0" w:space="0" w:color="auto"/>
                                        <w:left w:val="none" w:sz="0" w:space="0" w:color="auto"/>
                                        <w:bottom w:val="none" w:sz="0" w:space="0" w:color="auto"/>
                                        <w:right w:val="none" w:sz="0" w:space="0" w:color="auto"/>
                                      </w:divBdr>
                                      <w:divsChild>
                                        <w:div w:id="63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043192">
      <w:bodyDiv w:val="1"/>
      <w:marLeft w:val="0"/>
      <w:marRight w:val="0"/>
      <w:marTop w:val="0"/>
      <w:marBottom w:val="0"/>
      <w:divBdr>
        <w:top w:val="none" w:sz="0" w:space="0" w:color="auto"/>
        <w:left w:val="none" w:sz="0" w:space="0" w:color="auto"/>
        <w:bottom w:val="none" w:sz="0" w:space="0" w:color="auto"/>
        <w:right w:val="none" w:sz="0" w:space="0" w:color="auto"/>
      </w:divBdr>
      <w:divsChild>
        <w:div w:id="1830822394">
          <w:marLeft w:val="0"/>
          <w:marRight w:val="0"/>
          <w:marTop w:val="0"/>
          <w:marBottom w:val="0"/>
          <w:divBdr>
            <w:top w:val="none" w:sz="0" w:space="0" w:color="auto"/>
            <w:left w:val="none" w:sz="0" w:space="0" w:color="auto"/>
            <w:bottom w:val="none" w:sz="0" w:space="0" w:color="auto"/>
            <w:right w:val="none" w:sz="0" w:space="0" w:color="auto"/>
          </w:divBdr>
          <w:divsChild>
            <w:div w:id="816655276">
              <w:marLeft w:val="0"/>
              <w:marRight w:val="0"/>
              <w:marTop w:val="100"/>
              <w:marBottom w:val="100"/>
              <w:divBdr>
                <w:top w:val="none" w:sz="0" w:space="0" w:color="auto"/>
                <w:left w:val="none" w:sz="0" w:space="0" w:color="auto"/>
                <w:bottom w:val="none" w:sz="0" w:space="0" w:color="auto"/>
                <w:right w:val="none" w:sz="0" w:space="0" w:color="auto"/>
              </w:divBdr>
              <w:divsChild>
                <w:div w:id="959607233">
                  <w:marLeft w:val="0"/>
                  <w:marRight w:val="0"/>
                  <w:marTop w:val="0"/>
                  <w:marBottom w:val="0"/>
                  <w:divBdr>
                    <w:top w:val="none" w:sz="0" w:space="0" w:color="auto"/>
                    <w:left w:val="none" w:sz="0" w:space="0" w:color="auto"/>
                    <w:bottom w:val="none" w:sz="0" w:space="0" w:color="auto"/>
                    <w:right w:val="none" w:sz="0" w:space="0" w:color="auto"/>
                  </w:divBdr>
                  <w:divsChild>
                    <w:div w:id="193469503">
                      <w:marLeft w:val="0"/>
                      <w:marRight w:val="0"/>
                      <w:marTop w:val="0"/>
                      <w:marBottom w:val="0"/>
                      <w:divBdr>
                        <w:top w:val="none" w:sz="0" w:space="0" w:color="auto"/>
                        <w:left w:val="none" w:sz="0" w:space="0" w:color="auto"/>
                        <w:bottom w:val="none" w:sz="0" w:space="0" w:color="auto"/>
                        <w:right w:val="none" w:sz="0" w:space="0" w:color="auto"/>
                      </w:divBdr>
                      <w:divsChild>
                        <w:div w:id="484778624">
                          <w:marLeft w:val="0"/>
                          <w:marRight w:val="0"/>
                          <w:marTop w:val="0"/>
                          <w:marBottom w:val="0"/>
                          <w:divBdr>
                            <w:top w:val="none" w:sz="0" w:space="0" w:color="auto"/>
                            <w:left w:val="none" w:sz="0" w:space="0" w:color="auto"/>
                            <w:bottom w:val="none" w:sz="0" w:space="0" w:color="auto"/>
                            <w:right w:val="none" w:sz="0" w:space="0" w:color="auto"/>
                          </w:divBdr>
                          <w:divsChild>
                            <w:div w:id="1840267679">
                              <w:marLeft w:val="0"/>
                              <w:marRight w:val="0"/>
                              <w:marTop w:val="0"/>
                              <w:marBottom w:val="0"/>
                              <w:divBdr>
                                <w:top w:val="none" w:sz="0" w:space="0" w:color="auto"/>
                                <w:left w:val="none" w:sz="0" w:space="0" w:color="auto"/>
                                <w:bottom w:val="none" w:sz="0" w:space="0" w:color="auto"/>
                                <w:right w:val="none" w:sz="0" w:space="0" w:color="auto"/>
                              </w:divBdr>
                              <w:divsChild>
                                <w:div w:id="1617105504">
                                  <w:marLeft w:val="0"/>
                                  <w:marRight w:val="0"/>
                                  <w:marTop w:val="0"/>
                                  <w:marBottom w:val="0"/>
                                  <w:divBdr>
                                    <w:top w:val="none" w:sz="0" w:space="0" w:color="auto"/>
                                    <w:left w:val="none" w:sz="0" w:space="0" w:color="auto"/>
                                    <w:bottom w:val="none" w:sz="0" w:space="0" w:color="auto"/>
                                    <w:right w:val="none" w:sz="0" w:space="0" w:color="auto"/>
                                  </w:divBdr>
                                  <w:divsChild>
                                    <w:div w:id="1175731413">
                                      <w:marLeft w:val="0"/>
                                      <w:marRight w:val="0"/>
                                      <w:marTop w:val="0"/>
                                      <w:marBottom w:val="0"/>
                                      <w:divBdr>
                                        <w:top w:val="none" w:sz="0" w:space="0" w:color="auto"/>
                                        <w:left w:val="none" w:sz="0" w:space="0" w:color="auto"/>
                                        <w:bottom w:val="none" w:sz="0" w:space="0" w:color="auto"/>
                                        <w:right w:val="none" w:sz="0" w:space="0" w:color="auto"/>
                                      </w:divBdr>
                                      <w:divsChild>
                                        <w:div w:id="1346514175">
                                          <w:marLeft w:val="0"/>
                                          <w:marRight w:val="0"/>
                                          <w:marTop w:val="0"/>
                                          <w:marBottom w:val="0"/>
                                          <w:divBdr>
                                            <w:top w:val="none" w:sz="0" w:space="0" w:color="auto"/>
                                            <w:left w:val="none" w:sz="0" w:space="0" w:color="auto"/>
                                            <w:bottom w:val="none" w:sz="0" w:space="0" w:color="auto"/>
                                            <w:right w:val="none" w:sz="0" w:space="0" w:color="auto"/>
                                          </w:divBdr>
                                          <w:divsChild>
                                            <w:div w:id="14994848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1371008">
      <w:bodyDiv w:val="1"/>
      <w:marLeft w:val="0"/>
      <w:marRight w:val="0"/>
      <w:marTop w:val="0"/>
      <w:marBottom w:val="0"/>
      <w:divBdr>
        <w:top w:val="none" w:sz="0" w:space="0" w:color="auto"/>
        <w:left w:val="none" w:sz="0" w:space="0" w:color="auto"/>
        <w:bottom w:val="none" w:sz="0" w:space="0" w:color="auto"/>
        <w:right w:val="none" w:sz="0" w:space="0" w:color="auto"/>
      </w:divBdr>
    </w:div>
    <w:div w:id="736321684">
      <w:bodyDiv w:val="1"/>
      <w:marLeft w:val="0"/>
      <w:marRight w:val="0"/>
      <w:marTop w:val="0"/>
      <w:marBottom w:val="0"/>
      <w:divBdr>
        <w:top w:val="none" w:sz="0" w:space="0" w:color="auto"/>
        <w:left w:val="none" w:sz="0" w:space="0" w:color="auto"/>
        <w:bottom w:val="none" w:sz="0" w:space="0" w:color="auto"/>
        <w:right w:val="none" w:sz="0" w:space="0" w:color="auto"/>
      </w:divBdr>
    </w:div>
    <w:div w:id="791939069">
      <w:bodyDiv w:val="1"/>
      <w:marLeft w:val="0"/>
      <w:marRight w:val="0"/>
      <w:marTop w:val="0"/>
      <w:marBottom w:val="0"/>
      <w:divBdr>
        <w:top w:val="none" w:sz="0" w:space="0" w:color="auto"/>
        <w:left w:val="none" w:sz="0" w:space="0" w:color="auto"/>
        <w:bottom w:val="none" w:sz="0" w:space="0" w:color="auto"/>
        <w:right w:val="none" w:sz="0" w:space="0" w:color="auto"/>
      </w:divBdr>
      <w:divsChild>
        <w:div w:id="1171138260">
          <w:marLeft w:val="0"/>
          <w:marRight w:val="0"/>
          <w:marTop w:val="0"/>
          <w:marBottom w:val="0"/>
          <w:divBdr>
            <w:top w:val="none" w:sz="0" w:space="0" w:color="auto"/>
            <w:left w:val="none" w:sz="0" w:space="0" w:color="auto"/>
            <w:bottom w:val="none" w:sz="0" w:space="0" w:color="auto"/>
            <w:right w:val="none" w:sz="0" w:space="0" w:color="auto"/>
          </w:divBdr>
          <w:divsChild>
            <w:div w:id="1965503817">
              <w:marLeft w:val="0"/>
              <w:marRight w:val="0"/>
              <w:marTop w:val="100"/>
              <w:marBottom w:val="100"/>
              <w:divBdr>
                <w:top w:val="none" w:sz="0" w:space="0" w:color="auto"/>
                <w:left w:val="none" w:sz="0" w:space="0" w:color="auto"/>
                <w:bottom w:val="none" w:sz="0" w:space="0" w:color="auto"/>
                <w:right w:val="none" w:sz="0" w:space="0" w:color="auto"/>
              </w:divBdr>
              <w:divsChild>
                <w:div w:id="1093403191">
                  <w:marLeft w:val="0"/>
                  <w:marRight w:val="0"/>
                  <w:marTop w:val="0"/>
                  <w:marBottom w:val="0"/>
                  <w:divBdr>
                    <w:top w:val="none" w:sz="0" w:space="0" w:color="auto"/>
                    <w:left w:val="none" w:sz="0" w:space="0" w:color="auto"/>
                    <w:bottom w:val="none" w:sz="0" w:space="0" w:color="auto"/>
                    <w:right w:val="none" w:sz="0" w:space="0" w:color="auto"/>
                  </w:divBdr>
                  <w:divsChild>
                    <w:div w:id="1790780300">
                      <w:marLeft w:val="0"/>
                      <w:marRight w:val="0"/>
                      <w:marTop w:val="0"/>
                      <w:marBottom w:val="0"/>
                      <w:divBdr>
                        <w:top w:val="none" w:sz="0" w:space="0" w:color="auto"/>
                        <w:left w:val="none" w:sz="0" w:space="0" w:color="auto"/>
                        <w:bottom w:val="none" w:sz="0" w:space="0" w:color="auto"/>
                        <w:right w:val="none" w:sz="0" w:space="0" w:color="auto"/>
                      </w:divBdr>
                      <w:divsChild>
                        <w:div w:id="1811095860">
                          <w:marLeft w:val="0"/>
                          <w:marRight w:val="0"/>
                          <w:marTop w:val="0"/>
                          <w:marBottom w:val="0"/>
                          <w:divBdr>
                            <w:top w:val="none" w:sz="0" w:space="0" w:color="auto"/>
                            <w:left w:val="none" w:sz="0" w:space="0" w:color="auto"/>
                            <w:bottom w:val="none" w:sz="0" w:space="0" w:color="auto"/>
                            <w:right w:val="none" w:sz="0" w:space="0" w:color="auto"/>
                          </w:divBdr>
                          <w:divsChild>
                            <w:div w:id="187448997">
                              <w:marLeft w:val="0"/>
                              <w:marRight w:val="0"/>
                              <w:marTop w:val="0"/>
                              <w:marBottom w:val="0"/>
                              <w:divBdr>
                                <w:top w:val="none" w:sz="0" w:space="0" w:color="auto"/>
                                <w:left w:val="none" w:sz="0" w:space="0" w:color="auto"/>
                                <w:bottom w:val="none" w:sz="0" w:space="0" w:color="auto"/>
                                <w:right w:val="none" w:sz="0" w:space="0" w:color="auto"/>
                              </w:divBdr>
                              <w:divsChild>
                                <w:div w:id="400910160">
                                  <w:marLeft w:val="0"/>
                                  <w:marRight w:val="0"/>
                                  <w:marTop w:val="0"/>
                                  <w:marBottom w:val="0"/>
                                  <w:divBdr>
                                    <w:top w:val="none" w:sz="0" w:space="0" w:color="auto"/>
                                    <w:left w:val="none" w:sz="0" w:space="0" w:color="auto"/>
                                    <w:bottom w:val="none" w:sz="0" w:space="0" w:color="auto"/>
                                    <w:right w:val="none" w:sz="0" w:space="0" w:color="auto"/>
                                  </w:divBdr>
                                  <w:divsChild>
                                    <w:div w:id="1578399813">
                                      <w:marLeft w:val="0"/>
                                      <w:marRight w:val="0"/>
                                      <w:marTop w:val="0"/>
                                      <w:marBottom w:val="0"/>
                                      <w:divBdr>
                                        <w:top w:val="none" w:sz="0" w:space="0" w:color="auto"/>
                                        <w:left w:val="none" w:sz="0" w:space="0" w:color="auto"/>
                                        <w:bottom w:val="none" w:sz="0" w:space="0" w:color="auto"/>
                                        <w:right w:val="none" w:sz="0" w:space="0" w:color="auto"/>
                                      </w:divBdr>
                                      <w:divsChild>
                                        <w:div w:id="14024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430984">
      <w:bodyDiv w:val="1"/>
      <w:marLeft w:val="0"/>
      <w:marRight w:val="0"/>
      <w:marTop w:val="0"/>
      <w:marBottom w:val="0"/>
      <w:divBdr>
        <w:top w:val="none" w:sz="0" w:space="0" w:color="auto"/>
        <w:left w:val="none" w:sz="0" w:space="0" w:color="auto"/>
        <w:bottom w:val="none" w:sz="0" w:space="0" w:color="auto"/>
        <w:right w:val="none" w:sz="0" w:space="0" w:color="auto"/>
      </w:divBdr>
      <w:divsChild>
        <w:div w:id="70274949">
          <w:marLeft w:val="0"/>
          <w:marRight w:val="0"/>
          <w:marTop w:val="0"/>
          <w:marBottom w:val="0"/>
          <w:divBdr>
            <w:top w:val="none" w:sz="0" w:space="0" w:color="auto"/>
            <w:left w:val="none" w:sz="0" w:space="0" w:color="auto"/>
            <w:bottom w:val="none" w:sz="0" w:space="0" w:color="auto"/>
            <w:right w:val="none" w:sz="0" w:space="0" w:color="auto"/>
          </w:divBdr>
          <w:divsChild>
            <w:div w:id="425272566">
              <w:marLeft w:val="0"/>
              <w:marRight w:val="0"/>
              <w:marTop w:val="100"/>
              <w:marBottom w:val="100"/>
              <w:divBdr>
                <w:top w:val="none" w:sz="0" w:space="0" w:color="auto"/>
                <w:left w:val="none" w:sz="0" w:space="0" w:color="auto"/>
                <w:bottom w:val="none" w:sz="0" w:space="0" w:color="auto"/>
                <w:right w:val="none" w:sz="0" w:space="0" w:color="auto"/>
              </w:divBdr>
              <w:divsChild>
                <w:div w:id="1723627582">
                  <w:marLeft w:val="0"/>
                  <w:marRight w:val="0"/>
                  <w:marTop w:val="0"/>
                  <w:marBottom w:val="0"/>
                  <w:divBdr>
                    <w:top w:val="none" w:sz="0" w:space="0" w:color="auto"/>
                    <w:left w:val="none" w:sz="0" w:space="0" w:color="auto"/>
                    <w:bottom w:val="none" w:sz="0" w:space="0" w:color="auto"/>
                    <w:right w:val="none" w:sz="0" w:space="0" w:color="auto"/>
                  </w:divBdr>
                  <w:divsChild>
                    <w:div w:id="516770477">
                      <w:marLeft w:val="0"/>
                      <w:marRight w:val="0"/>
                      <w:marTop w:val="0"/>
                      <w:marBottom w:val="0"/>
                      <w:divBdr>
                        <w:top w:val="none" w:sz="0" w:space="0" w:color="auto"/>
                        <w:left w:val="none" w:sz="0" w:space="0" w:color="auto"/>
                        <w:bottom w:val="none" w:sz="0" w:space="0" w:color="auto"/>
                        <w:right w:val="none" w:sz="0" w:space="0" w:color="auto"/>
                      </w:divBdr>
                      <w:divsChild>
                        <w:div w:id="127169872">
                          <w:marLeft w:val="0"/>
                          <w:marRight w:val="0"/>
                          <w:marTop w:val="0"/>
                          <w:marBottom w:val="0"/>
                          <w:divBdr>
                            <w:top w:val="none" w:sz="0" w:space="0" w:color="auto"/>
                            <w:left w:val="none" w:sz="0" w:space="0" w:color="auto"/>
                            <w:bottom w:val="none" w:sz="0" w:space="0" w:color="auto"/>
                            <w:right w:val="none" w:sz="0" w:space="0" w:color="auto"/>
                          </w:divBdr>
                          <w:divsChild>
                            <w:div w:id="863053423">
                              <w:marLeft w:val="0"/>
                              <w:marRight w:val="0"/>
                              <w:marTop w:val="0"/>
                              <w:marBottom w:val="0"/>
                              <w:divBdr>
                                <w:top w:val="none" w:sz="0" w:space="0" w:color="auto"/>
                                <w:left w:val="none" w:sz="0" w:space="0" w:color="auto"/>
                                <w:bottom w:val="none" w:sz="0" w:space="0" w:color="auto"/>
                                <w:right w:val="none" w:sz="0" w:space="0" w:color="auto"/>
                              </w:divBdr>
                              <w:divsChild>
                                <w:div w:id="1323772525">
                                  <w:marLeft w:val="0"/>
                                  <w:marRight w:val="0"/>
                                  <w:marTop w:val="0"/>
                                  <w:marBottom w:val="0"/>
                                  <w:divBdr>
                                    <w:top w:val="none" w:sz="0" w:space="0" w:color="auto"/>
                                    <w:left w:val="none" w:sz="0" w:space="0" w:color="auto"/>
                                    <w:bottom w:val="none" w:sz="0" w:space="0" w:color="auto"/>
                                    <w:right w:val="none" w:sz="0" w:space="0" w:color="auto"/>
                                  </w:divBdr>
                                  <w:divsChild>
                                    <w:div w:id="285506297">
                                      <w:marLeft w:val="0"/>
                                      <w:marRight w:val="0"/>
                                      <w:marTop w:val="0"/>
                                      <w:marBottom w:val="0"/>
                                      <w:divBdr>
                                        <w:top w:val="none" w:sz="0" w:space="0" w:color="auto"/>
                                        <w:left w:val="none" w:sz="0" w:space="0" w:color="auto"/>
                                        <w:bottom w:val="none" w:sz="0" w:space="0" w:color="auto"/>
                                        <w:right w:val="none" w:sz="0" w:space="0" w:color="auto"/>
                                      </w:divBdr>
                                      <w:divsChild>
                                        <w:div w:id="17316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105321">
      <w:bodyDiv w:val="1"/>
      <w:marLeft w:val="0"/>
      <w:marRight w:val="0"/>
      <w:marTop w:val="0"/>
      <w:marBottom w:val="0"/>
      <w:divBdr>
        <w:top w:val="none" w:sz="0" w:space="0" w:color="auto"/>
        <w:left w:val="none" w:sz="0" w:space="0" w:color="auto"/>
        <w:bottom w:val="none" w:sz="0" w:space="0" w:color="auto"/>
        <w:right w:val="none" w:sz="0" w:space="0" w:color="auto"/>
      </w:divBdr>
      <w:divsChild>
        <w:div w:id="2062634694">
          <w:marLeft w:val="0"/>
          <w:marRight w:val="0"/>
          <w:marTop w:val="0"/>
          <w:marBottom w:val="0"/>
          <w:divBdr>
            <w:top w:val="none" w:sz="0" w:space="0" w:color="auto"/>
            <w:left w:val="none" w:sz="0" w:space="0" w:color="auto"/>
            <w:bottom w:val="none" w:sz="0" w:space="0" w:color="auto"/>
            <w:right w:val="none" w:sz="0" w:space="0" w:color="auto"/>
          </w:divBdr>
          <w:divsChild>
            <w:div w:id="780105900">
              <w:marLeft w:val="0"/>
              <w:marRight w:val="0"/>
              <w:marTop w:val="100"/>
              <w:marBottom w:val="100"/>
              <w:divBdr>
                <w:top w:val="none" w:sz="0" w:space="0" w:color="auto"/>
                <w:left w:val="none" w:sz="0" w:space="0" w:color="auto"/>
                <w:bottom w:val="none" w:sz="0" w:space="0" w:color="auto"/>
                <w:right w:val="none" w:sz="0" w:space="0" w:color="auto"/>
              </w:divBdr>
              <w:divsChild>
                <w:div w:id="1605765228">
                  <w:marLeft w:val="0"/>
                  <w:marRight w:val="0"/>
                  <w:marTop w:val="0"/>
                  <w:marBottom w:val="0"/>
                  <w:divBdr>
                    <w:top w:val="none" w:sz="0" w:space="0" w:color="auto"/>
                    <w:left w:val="none" w:sz="0" w:space="0" w:color="auto"/>
                    <w:bottom w:val="none" w:sz="0" w:space="0" w:color="auto"/>
                    <w:right w:val="none" w:sz="0" w:space="0" w:color="auto"/>
                  </w:divBdr>
                  <w:divsChild>
                    <w:div w:id="1919778670">
                      <w:marLeft w:val="0"/>
                      <w:marRight w:val="0"/>
                      <w:marTop w:val="0"/>
                      <w:marBottom w:val="0"/>
                      <w:divBdr>
                        <w:top w:val="none" w:sz="0" w:space="0" w:color="auto"/>
                        <w:left w:val="none" w:sz="0" w:space="0" w:color="auto"/>
                        <w:bottom w:val="none" w:sz="0" w:space="0" w:color="auto"/>
                        <w:right w:val="none" w:sz="0" w:space="0" w:color="auto"/>
                      </w:divBdr>
                      <w:divsChild>
                        <w:div w:id="1032194665">
                          <w:marLeft w:val="0"/>
                          <w:marRight w:val="0"/>
                          <w:marTop w:val="0"/>
                          <w:marBottom w:val="0"/>
                          <w:divBdr>
                            <w:top w:val="none" w:sz="0" w:space="0" w:color="auto"/>
                            <w:left w:val="none" w:sz="0" w:space="0" w:color="auto"/>
                            <w:bottom w:val="none" w:sz="0" w:space="0" w:color="auto"/>
                            <w:right w:val="none" w:sz="0" w:space="0" w:color="auto"/>
                          </w:divBdr>
                          <w:divsChild>
                            <w:div w:id="802430913">
                              <w:marLeft w:val="0"/>
                              <w:marRight w:val="0"/>
                              <w:marTop w:val="0"/>
                              <w:marBottom w:val="0"/>
                              <w:divBdr>
                                <w:top w:val="none" w:sz="0" w:space="0" w:color="auto"/>
                                <w:left w:val="none" w:sz="0" w:space="0" w:color="auto"/>
                                <w:bottom w:val="none" w:sz="0" w:space="0" w:color="auto"/>
                                <w:right w:val="none" w:sz="0" w:space="0" w:color="auto"/>
                              </w:divBdr>
                              <w:divsChild>
                                <w:div w:id="330454420">
                                  <w:marLeft w:val="0"/>
                                  <w:marRight w:val="0"/>
                                  <w:marTop w:val="0"/>
                                  <w:marBottom w:val="0"/>
                                  <w:divBdr>
                                    <w:top w:val="none" w:sz="0" w:space="0" w:color="auto"/>
                                    <w:left w:val="none" w:sz="0" w:space="0" w:color="auto"/>
                                    <w:bottom w:val="none" w:sz="0" w:space="0" w:color="auto"/>
                                    <w:right w:val="none" w:sz="0" w:space="0" w:color="auto"/>
                                  </w:divBdr>
                                  <w:divsChild>
                                    <w:div w:id="1039017253">
                                      <w:marLeft w:val="0"/>
                                      <w:marRight w:val="0"/>
                                      <w:marTop w:val="0"/>
                                      <w:marBottom w:val="0"/>
                                      <w:divBdr>
                                        <w:top w:val="none" w:sz="0" w:space="0" w:color="auto"/>
                                        <w:left w:val="none" w:sz="0" w:space="0" w:color="auto"/>
                                        <w:bottom w:val="none" w:sz="0" w:space="0" w:color="auto"/>
                                        <w:right w:val="none" w:sz="0" w:space="0" w:color="auto"/>
                                      </w:divBdr>
                                      <w:divsChild>
                                        <w:div w:id="109513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722512">
      <w:bodyDiv w:val="1"/>
      <w:marLeft w:val="0"/>
      <w:marRight w:val="0"/>
      <w:marTop w:val="0"/>
      <w:marBottom w:val="0"/>
      <w:divBdr>
        <w:top w:val="none" w:sz="0" w:space="0" w:color="auto"/>
        <w:left w:val="none" w:sz="0" w:space="0" w:color="auto"/>
        <w:bottom w:val="none" w:sz="0" w:space="0" w:color="auto"/>
        <w:right w:val="none" w:sz="0" w:space="0" w:color="auto"/>
      </w:divBdr>
      <w:divsChild>
        <w:div w:id="746918848">
          <w:marLeft w:val="0"/>
          <w:marRight w:val="0"/>
          <w:marTop w:val="0"/>
          <w:marBottom w:val="0"/>
          <w:divBdr>
            <w:top w:val="none" w:sz="0" w:space="0" w:color="auto"/>
            <w:left w:val="none" w:sz="0" w:space="0" w:color="auto"/>
            <w:bottom w:val="none" w:sz="0" w:space="0" w:color="auto"/>
            <w:right w:val="none" w:sz="0" w:space="0" w:color="auto"/>
          </w:divBdr>
          <w:divsChild>
            <w:div w:id="1124037745">
              <w:marLeft w:val="0"/>
              <w:marRight w:val="0"/>
              <w:marTop w:val="100"/>
              <w:marBottom w:val="100"/>
              <w:divBdr>
                <w:top w:val="none" w:sz="0" w:space="0" w:color="auto"/>
                <w:left w:val="none" w:sz="0" w:space="0" w:color="auto"/>
                <w:bottom w:val="none" w:sz="0" w:space="0" w:color="auto"/>
                <w:right w:val="none" w:sz="0" w:space="0" w:color="auto"/>
              </w:divBdr>
              <w:divsChild>
                <w:div w:id="985821717">
                  <w:marLeft w:val="0"/>
                  <w:marRight w:val="0"/>
                  <w:marTop w:val="0"/>
                  <w:marBottom w:val="0"/>
                  <w:divBdr>
                    <w:top w:val="none" w:sz="0" w:space="0" w:color="auto"/>
                    <w:left w:val="none" w:sz="0" w:space="0" w:color="auto"/>
                    <w:bottom w:val="none" w:sz="0" w:space="0" w:color="auto"/>
                    <w:right w:val="none" w:sz="0" w:space="0" w:color="auto"/>
                  </w:divBdr>
                  <w:divsChild>
                    <w:div w:id="2040281310">
                      <w:marLeft w:val="0"/>
                      <w:marRight w:val="0"/>
                      <w:marTop w:val="0"/>
                      <w:marBottom w:val="0"/>
                      <w:divBdr>
                        <w:top w:val="none" w:sz="0" w:space="0" w:color="auto"/>
                        <w:left w:val="none" w:sz="0" w:space="0" w:color="auto"/>
                        <w:bottom w:val="none" w:sz="0" w:space="0" w:color="auto"/>
                        <w:right w:val="none" w:sz="0" w:space="0" w:color="auto"/>
                      </w:divBdr>
                      <w:divsChild>
                        <w:div w:id="1499157383">
                          <w:marLeft w:val="0"/>
                          <w:marRight w:val="0"/>
                          <w:marTop w:val="0"/>
                          <w:marBottom w:val="0"/>
                          <w:divBdr>
                            <w:top w:val="none" w:sz="0" w:space="0" w:color="auto"/>
                            <w:left w:val="none" w:sz="0" w:space="0" w:color="auto"/>
                            <w:bottom w:val="none" w:sz="0" w:space="0" w:color="auto"/>
                            <w:right w:val="none" w:sz="0" w:space="0" w:color="auto"/>
                          </w:divBdr>
                          <w:divsChild>
                            <w:div w:id="1557426690">
                              <w:marLeft w:val="0"/>
                              <w:marRight w:val="0"/>
                              <w:marTop w:val="0"/>
                              <w:marBottom w:val="0"/>
                              <w:divBdr>
                                <w:top w:val="none" w:sz="0" w:space="0" w:color="auto"/>
                                <w:left w:val="none" w:sz="0" w:space="0" w:color="auto"/>
                                <w:bottom w:val="none" w:sz="0" w:space="0" w:color="auto"/>
                                <w:right w:val="none" w:sz="0" w:space="0" w:color="auto"/>
                              </w:divBdr>
                              <w:divsChild>
                                <w:div w:id="1454401649">
                                  <w:marLeft w:val="0"/>
                                  <w:marRight w:val="0"/>
                                  <w:marTop w:val="0"/>
                                  <w:marBottom w:val="0"/>
                                  <w:divBdr>
                                    <w:top w:val="none" w:sz="0" w:space="0" w:color="auto"/>
                                    <w:left w:val="none" w:sz="0" w:space="0" w:color="auto"/>
                                    <w:bottom w:val="none" w:sz="0" w:space="0" w:color="auto"/>
                                    <w:right w:val="none" w:sz="0" w:space="0" w:color="auto"/>
                                  </w:divBdr>
                                  <w:divsChild>
                                    <w:div w:id="1181512004">
                                      <w:marLeft w:val="0"/>
                                      <w:marRight w:val="0"/>
                                      <w:marTop w:val="0"/>
                                      <w:marBottom w:val="0"/>
                                      <w:divBdr>
                                        <w:top w:val="none" w:sz="0" w:space="0" w:color="auto"/>
                                        <w:left w:val="none" w:sz="0" w:space="0" w:color="auto"/>
                                        <w:bottom w:val="none" w:sz="0" w:space="0" w:color="auto"/>
                                        <w:right w:val="none" w:sz="0" w:space="0" w:color="auto"/>
                                      </w:divBdr>
                                      <w:divsChild>
                                        <w:div w:id="16171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180364">
      <w:bodyDiv w:val="1"/>
      <w:marLeft w:val="0"/>
      <w:marRight w:val="0"/>
      <w:marTop w:val="0"/>
      <w:marBottom w:val="0"/>
      <w:divBdr>
        <w:top w:val="none" w:sz="0" w:space="0" w:color="auto"/>
        <w:left w:val="none" w:sz="0" w:space="0" w:color="auto"/>
        <w:bottom w:val="none" w:sz="0" w:space="0" w:color="auto"/>
        <w:right w:val="none" w:sz="0" w:space="0" w:color="auto"/>
      </w:divBdr>
      <w:divsChild>
        <w:div w:id="1693258498">
          <w:marLeft w:val="0"/>
          <w:marRight w:val="0"/>
          <w:marTop w:val="0"/>
          <w:marBottom w:val="0"/>
          <w:divBdr>
            <w:top w:val="none" w:sz="0" w:space="0" w:color="auto"/>
            <w:left w:val="none" w:sz="0" w:space="0" w:color="auto"/>
            <w:bottom w:val="none" w:sz="0" w:space="0" w:color="auto"/>
            <w:right w:val="none" w:sz="0" w:space="0" w:color="auto"/>
          </w:divBdr>
          <w:divsChild>
            <w:div w:id="1981810067">
              <w:marLeft w:val="0"/>
              <w:marRight w:val="0"/>
              <w:marTop w:val="100"/>
              <w:marBottom w:val="100"/>
              <w:divBdr>
                <w:top w:val="none" w:sz="0" w:space="0" w:color="auto"/>
                <w:left w:val="none" w:sz="0" w:space="0" w:color="auto"/>
                <w:bottom w:val="none" w:sz="0" w:space="0" w:color="auto"/>
                <w:right w:val="none" w:sz="0" w:space="0" w:color="auto"/>
              </w:divBdr>
              <w:divsChild>
                <w:div w:id="312610817">
                  <w:marLeft w:val="0"/>
                  <w:marRight w:val="0"/>
                  <w:marTop w:val="0"/>
                  <w:marBottom w:val="0"/>
                  <w:divBdr>
                    <w:top w:val="none" w:sz="0" w:space="0" w:color="auto"/>
                    <w:left w:val="none" w:sz="0" w:space="0" w:color="auto"/>
                    <w:bottom w:val="none" w:sz="0" w:space="0" w:color="auto"/>
                    <w:right w:val="none" w:sz="0" w:space="0" w:color="auto"/>
                  </w:divBdr>
                  <w:divsChild>
                    <w:div w:id="417364314">
                      <w:marLeft w:val="0"/>
                      <w:marRight w:val="0"/>
                      <w:marTop w:val="0"/>
                      <w:marBottom w:val="0"/>
                      <w:divBdr>
                        <w:top w:val="none" w:sz="0" w:space="0" w:color="auto"/>
                        <w:left w:val="none" w:sz="0" w:space="0" w:color="auto"/>
                        <w:bottom w:val="none" w:sz="0" w:space="0" w:color="auto"/>
                        <w:right w:val="none" w:sz="0" w:space="0" w:color="auto"/>
                      </w:divBdr>
                      <w:divsChild>
                        <w:div w:id="559831013">
                          <w:marLeft w:val="0"/>
                          <w:marRight w:val="0"/>
                          <w:marTop w:val="0"/>
                          <w:marBottom w:val="0"/>
                          <w:divBdr>
                            <w:top w:val="none" w:sz="0" w:space="0" w:color="auto"/>
                            <w:left w:val="none" w:sz="0" w:space="0" w:color="auto"/>
                            <w:bottom w:val="none" w:sz="0" w:space="0" w:color="auto"/>
                            <w:right w:val="none" w:sz="0" w:space="0" w:color="auto"/>
                          </w:divBdr>
                          <w:divsChild>
                            <w:div w:id="626933098">
                              <w:marLeft w:val="0"/>
                              <w:marRight w:val="0"/>
                              <w:marTop w:val="0"/>
                              <w:marBottom w:val="0"/>
                              <w:divBdr>
                                <w:top w:val="none" w:sz="0" w:space="0" w:color="auto"/>
                                <w:left w:val="none" w:sz="0" w:space="0" w:color="auto"/>
                                <w:bottom w:val="none" w:sz="0" w:space="0" w:color="auto"/>
                                <w:right w:val="none" w:sz="0" w:space="0" w:color="auto"/>
                              </w:divBdr>
                              <w:divsChild>
                                <w:div w:id="887378740">
                                  <w:marLeft w:val="0"/>
                                  <w:marRight w:val="0"/>
                                  <w:marTop w:val="0"/>
                                  <w:marBottom w:val="0"/>
                                  <w:divBdr>
                                    <w:top w:val="none" w:sz="0" w:space="0" w:color="auto"/>
                                    <w:left w:val="none" w:sz="0" w:space="0" w:color="auto"/>
                                    <w:bottom w:val="none" w:sz="0" w:space="0" w:color="auto"/>
                                    <w:right w:val="none" w:sz="0" w:space="0" w:color="auto"/>
                                  </w:divBdr>
                                  <w:divsChild>
                                    <w:div w:id="898790182">
                                      <w:marLeft w:val="0"/>
                                      <w:marRight w:val="0"/>
                                      <w:marTop w:val="0"/>
                                      <w:marBottom w:val="0"/>
                                      <w:divBdr>
                                        <w:top w:val="none" w:sz="0" w:space="0" w:color="auto"/>
                                        <w:left w:val="none" w:sz="0" w:space="0" w:color="auto"/>
                                        <w:bottom w:val="none" w:sz="0" w:space="0" w:color="auto"/>
                                        <w:right w:val="none" w:sz="0" w:space="0" w:color="auto"/>
                                      </w:divBdr>
                                      <w:divsChild>
                                        <w:div w:id="19434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8706311">
      <w:bodyDiv w:val="1"/>
      <w:marLeft w:val="0"/>
      <w:marRight w:val="0"/>
      <w:marTop w:val="0"/>
      <w:marBottom w:val="0"/>
      <w:divBdr>
        <w:top w:val="none" w:sz="0" w:space="0" w:color="auto"/>
        <w:left w:val="none" w:sz="0" w:space="0" w:color="auto"/>
        <w:bottom w:val="none" w:sz="0" w:space="0" w:color="auto"/>
        <w:right w:val="none" w:sz="0" w:space="0" w:color="auto"/>
      </w:divBdr>
      <w:divsChild>
        <w:div w:id="1353921295">
          <w:marLeft w:val="0"/>
          <w:marRight w:val="0"/>
          <w:marTop w:val="0"/>
          <w:marBottom w:val="0"/>
          <w:divBdr>
            <w:top w:val="none" w:sz="0" w:space="0" w:color="auto"/>
            <w:left w:val="none" w:sz="0" w:space="0" w:color="auto"/>
            <w:bottom w:val="none" w:sz="0" w:space="0" w:color="auto"/>
            <w:right w:val="none" w:sz="0" w:space="0" w:color="auto"/>
          </w:divBdr>
          <w:divsChild>
            <w:div w:id="938678199">
              <w:marLeft w:val="0"/>
              <w:marRight w:val="0"/>
              <w:marTop w:val="100"/>
              <w:marBottom w:val="100"/>
              <w:divBdr>
                <w:top w:val="none" w:sz="0" w:space="0" w:color="auto"/>
                <w:left w:val="none" w:sz="0" w:space="0" w:color="auto"/>
                <w:bottom w:val="none" w:sz="0" w:space="0" w:color="auto"/>
                <w:right w:val="none" w:sz="0" w:space="0" w:color="auto"/>
              </w:divBdr>
              <w:divsChild>
                <w:div w:id="45029266">
                  <w:marLeft w:val="0"/>
                  <w:marRight w:val="0"/>
                  <w:marTop w:val="0"/>
                  <w:marBottom w:val="0"/>
                  <w:divBdr>
                    <w:top w:val="none" w:sz="0" w:space="0" w:color="auto"/>
                    <w:left w:val="none" w:sz="0" w:space="0" w:color="auto"/>
                    <w:bottom w:val="none" w:sz="0" w:space="0" w:color="auto"/>
                    <w:right w:val="none" w:sz="0" w:space="0" w:color="auto"/>
                  </w:divBdr>
                  <w:divsChild>
                    <w:div w:id="943074777">
                      <w:marLeft w:val="0"/>
                      <w:marRight w:val="0"/>
                      <w:marTop w:val="0"/>
                      <w:marBottom w:val="0"/>
                      <w:divBdr>
                        <w:top w:val="none" w:sz="0" w:space="0" w:color="auto"/>
                        <w:left w:val="none" w:sz="0" w:space="0" w:color="auto"/>
                        <w:bottom w:val="none" w:sz="0" w:space="0" w:color="auto"/>
                        <w:right w:val="none" w:sz="0" w:space="0" w:color="auto"/>
                      </w:divBdr>
                      <w:divsChild>
                        <w:div w:id="1367873269">
                          <w:marLeft w:val="0"/>
                          <w:marRight w:val="0"/>
                          <w:marTop w:val="0"/>
                          <w:marBottom w:val="0"/>
                          <w:divBdr>
                            <w:top w:val="none" w:sz="0" w:space="0" w:color="auto"/>
                            <w:left w:val="none" w:sz="0" w:space="0" w:color="auto"/>
                            <w:bottom w:val="none" w:sz="0" w:space="0" w:color="auto"/>
                            <w:right w:val="none" w:sz="0" w:space="0" w:color="auto"/>
                          </w:divBdr>
                          <w:divsChild>
                            <w:div w:id="2001881208">
                              <w:marLeft w:val="0"/>
                              <w:marRight w:val="0"/>
                              <w:marTop w:val="0"/>
                              <w:marBottom w:val="0"/>
                              <w:divBdr>
                                <w:top w:val="none" w:sz="0" w:space="0" w:color="auto"/>
                                <w:left w:val="none" w:sz="0" w:space="0" w:color="auto"/>
                                <w:bottom w:val="none" w:sz="0" w:space="0" w:color="auto"/>
                                <w:right w:val="none" w:sz="0" w:space="0" w:color="auto"/>
                              </w:divBdr>
                              <w:divsChild>
                                <w:div w:id="1660233310">
                                  <w:marLeft w:val="0"/>
                                  <w:marRight w:val="0"/>
                                  <w:marTop w:val="0"/>
                                  <w:marBottom w:val="0"/>
                                  <w:divBdr>
                                    <w:top w:val="none" w:sz="0" w:space="0" w:color="auto"/>
                                    <w:left w:val="none" w:sz="0" w:space="0" w:color="auto"/>
                                    <w:bottom w:val="none" w:sz="0" w:space="0" w:color="auto"/>
                                    <w:right w:val="none" w:sz="0" w:space="0" w:color="auto"/>
                                  </w:divBdr>
                                  <w:divsChild>
                                    <w:div w:id="293102201">
                                      <w:marLeft w:val="0"/>
                                      <w:marRight w:val="0"/>
                                      <w:marTop w:val="0"/>
                                      <w:marBottom w:val="0"/>
                                      <w:divBdr>
                                        <w:top w:val="none" w:sz="0" w:space="0" w:color="auto"/>
                                        <w:left w:val="none" w:sz="0" w:space="0" w:color="auto"/>
                                        <w:bottom w:val="none" w:sz="0" w:space="0" w:color="auto"/>
                                        <w:right w:val="none" w:sz="0" w:space="0" w:color="auto"/>
                                      </w:divBdr>
                                      <w:divsChild>
                                        <w:div w:id="11622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220746">
      <w:bodyDiv w:val="1"/>
      <w:marLeft w:val="0"/>
      <w:marRight w:val="0"/>
      <w:marTop w:val="0"/>
      <w:marBottom w:val="0"/>
      <w:divBdr>
        <w:top w:val="none" w:sz="0" w:space="0" w:color="auto"/>
        <w:left w:val="none" w:sz="0" w:space="0" w:color="auto"/>
        <w:bottom w:val="none" w:sz="0" w:space="0" w:color="auto"/>
        <w:right w:val="none" w:sz="0" w:space="0" w:color="auto"/>
      </w:divBdr>
    </w:div>
    <w:div w:id="1441486877">
      <w:bodyDiv w:val="1"/>
      <w:marLeft w:val="0"/>
      <w:marRight w:val="0"/>
      <w:marTop w:val="0"/>
      <w:marBottom w:val="0"/>
      <w:divBdr>
        <w:top w:val="none" w:sz="0" w:space="0" w:color="auto"/>
        <w:left w:val="none" w:sz="0" w:space="0" w:color="auto"/>
        <w:bottom w:val="none" w:sz="0" w:space="0" w:color="auto"/>
        <w:right w:val="none" w:sz="0" w:space="0" w:color="auto"/>
      </w:divBdr>
      <w:divsChild>
        <w:div w:id="882210289">
          <w:marLeft w:val="0"/>
          <w:marRight w:val="0"/>
          <w:marTop w:val="0"/>
          <w:marBottom w:val="0"/>
          <w:divBdr>
            <w:top w:val="none" w:sz="0" w:space="0" w:color="auto"/>
            <w:left w:val="none" w:sz="0" w:space="0" w:color="auto"/>
            <w:bottom w:val="none" w:sz="0" w:space="0" w:color="auto"/>
            <w:right w:val="none" w:sz="0" w:space="0" w:color="auto"/>
          </w:divBdr>
          <w:divsChild>
            <w:div w:id="863900868">
              <w:marLeft w:val="0"/>
              <w:marRight w:val="0"/>
              <w:marTop w:val="100"/>
              <w:marBottom w:val="100"/>
              <w:divBdr>
                <w:top w:val="none" w:sz="0" w:space="0" w:color="auto"/>
                <w:left w:val="none" w:sz="0" w:space="0" w:color="auto"/>
                <w:bottom w:val="none" w:sz="0" w:space="0" w:color="auto"/>
                <w:right w:val="none" w:sz="0" w:space="0" w:color="auto"/>
              </w:divBdr>
              <w:divsChild>
                <w:div w:id="673843342">
                  <w:marLeft w:val="0"/>
                  <w:marRight w:val="0"/>
                  <w:marTop w:val="0"/>
                  <w:marBottom w:val="0"/>
                  <w:divBdr>
                    <w:top w:val="none" w:sz="0" w:space="0" w:color="auto"/>
                    <w:left w:val="none" w:sz="0" w:space="0" w:color="auto"/>
                    <w:bottom w:val="none" w:sz="0" w:space="0" w:color="auto"/>
                    <w:right w:val="none" w:sz="0" w:space="0" w:color="auto"/>
                  </w:divBdr>
                  <w:divsChild>
                    <w:div w:id="314996008">
                      <w:marLeft w:val="0"/>
                      <w:marRight w:val="0"/>
                      <w:marTop w:val="0"/>
                      <w:marBottom w:val="0"/>
                      <w:divBdr>
                        <w:top w:val="none" w:sz="0" w:space="0" w:color="auto"/>
                        <w:left w:val="none" w:sz="0" w:space="0" w:color="auto"/>
                        <w:bottom w:val="none" w:sz="0" w:space="0" w:color="auto"/>
                        <w:right w:val="none" w:sz="0" w:space="0" w:color="auto"/>
                      </w:divBdr>
                      <w:divsChild>
                        <w:div w:id="90132569">
                          <w:marLeft w:val="0"/>
                          <w:marRight w:val="0"/>
                          <w:marTop w:val="0"/>
                          <w:marBottom w:val="0"/>
                          <w:divBdr>
                            <w:top w:val="none" w:sz="0" w:space="0" w:color="auto"/>
                            <w:left w:val="none" w:sz="0" w:space="0" w:color="auto"/>
                            <w:bottom w:val="none" w:sz="0" w:space="0" w:color="auto"/>
                            <w:right w:val="none" w:sz="0" w:space="0" w:color="auto"/>
                          </w:divBdr>
                          <w:divsChild>
                            <w:div w:id="2050571482">
                              <w:marLeft w:val="0"/>
                              <w:marRight w:val="0"/>
                              <w:marTop w:val="0"/>
                              <w:marBottom w:val="0"/>
                              <w:divBdr>
                                <w:top w:val="none" w:sz="0" w:space="0" w:color="auto"/>
                                <w:left w:val="none" w:sz="0" w:space="0" w:color="auto"/>
                                <w:bottom w:val="none" w:sz="0" w:space="0" w:color="auto"/>
                                <w:right w:val="none" w:sz="0" w:space="0" w:color="auto"/>
                              </w:divBdr>
                              <w:divsChild>
                                <w:div w:id="355816734">
                                  <w:marLeft w:val="0"/>
                                  <w:marRight w:val="0"/>
                                  <w:marTop w:val="0"/>
                                  <w:marBottom w:val="0"/>
                                  <w:divBdr>
                                    <w:top w:val="none" w:sz="0" w:space="0" w:color="auto"/>
                                    <w:left w:val="none" w:sz="0" w:space="0" w:color="auto"/>
                                    <w:bottom w:val="none" w:sz="0" w:space="0" w:color="auto"/>
                                    <w:right w:val="none" w:sz="0" w:space="0" w:color="auto"/>
                                  </w:divBdr>
                                  <w:divsChild>
                                    <w:div w:id="715859357">
                                      <w:marLeft w:val="0"/>
                                      <w:marRight w:val="0"/>
                                      <w:marTop w:val="0"/>
                                      <w:marBottom w:val="0"/>
                                      <w:divBdr>
                                        <w:top w:val="none" w:sz="0" w:space="0" w:color="auto"/>
                                        <w:left w:val="none" w:sz="0" w:space="0" w:color="auto"/>
                                        <w:bottom w:val="none" w:sz="0" w:space="0" w:color="auto"/>
                                        <w:right w:val="none" w:sz="0" w:space="0" w:color="auto"/>
                                      </w:divBdr>
                                      <w:divsChild>
                                        <w:div w:id="13988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75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F42A6AA591E6448262066C1D2F96B8" ma:contentTypeVersion="0" ma:contentTypeDescription="Ustvari nov dokument." ma:contentTypeScope="" ma:versionID="0939215f063735e4a6899037bf79b3f7">
  <xsd:schema xmlns:xsd="http://www.w3.org/2001/XMLSchema" xmlns:xs="http://www.w3.org/2001/XMLSchema" xmlns:p="http://schemas.microsoft.com/office/2006/metadata/properties" xmlns:ns2="45d885e1-f2d7-4ffc-80f5-e7c266c6408c" targetNamespace="http://schemas.microsoft.com/office/2006/metadata/properties" ma:root="true" ma:fieldsID="106b85407a65db458b3181becf7ea192" ns2:_="">
    <xsd:import namespace="45d885e1-f2d7-4ffc-80f5-e7c266c64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5d885e1-f2d7-4ffc-80f5-e7c266c6408c">YPDRX2FCMFN4-31-674</_dlc_DocId>
    <_dlc_DocIdUrl xmlns="45d885e1-f2d7-4ffc-80f5-e7c266c6408c">
      <Url>https://iportal.mf.si/podrocja/davkicarine/Dokumenti_skupni_rabi_DSDCJP/_layouts/15/DocIdRedir.aspx?ID=YPDRX2FCMFN4-31-674</Url>
      <Description>YPDRX2FCMFN4-31-674</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D0CBD-4C36-41B6-9B06-ACB94AD3F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64828E-3488-4E6E-86F7-700169F5A6A9}">
  <ds:schemaRefs>
    <ds:schemaRef ds:uri="http://schemas.microsoft.com/sharepoint/events"/>
  </ds:schemaRefs>
</ds:datastoreItem>
</file>

<file path=customXml/itemProps3.xml><?xml version="1.0" encoding="utf-8"?>
<ds:datastoreItem xmlns:ds="http://schemas.openxmlformats.org/officeDocument/2006/customXml" ds:itemID="{032AE05F-C1FD-4AFB-96EF-704D1F1F226A}">
  <ds:schemaRefs>
    <ds:schemaRef ds:uri="http://schemas.microsoft.com/sharepoint/v3/contenttype/forms"/>
  </ds:schemaRefs>
</ds:datastoreItem>
</file>

<file path=customXml/itemProps4.xml><?xml version="1.0" encoding="utf-8"?>
<ds:datastoreItem xmlns:ds="http://schemas.openxmlformats.org/officeDocument/2006/customXml" ds:itemID="{8AFF8093-4267-4935-8524-FA967AACB431}">
  <ds:schemaRefs>
    <ds:schemaRef ds:uri="http://schemas.microsoft.com/office/2006/metadata/properties"/>
    <ds:schemaRef ds:uri="http://schemas.microsoft.com/office/infopath/2007/PartnerControls"/>
    <ds:schemaRef ds:uri="45d885e1-f2d7-4ffc-80f5-e7c266c6408c"/>
  </ds:schemaRefs>
</ds:datastoreItem>
</file>

<file path=customXml/itemProps5.xml><?xml version="1.0" encoding="utf-8"?>
<ds:datastoreItem xmlns:ds="http://schemas.openxmlformats.org/officeDocument/2006/customXml" ds:itemID="{AC278BD0-3A13-4B87-9581-0F44CA779633}">
  <ds:schemaRefs>
    <ds:schemaRef ds:uri="http://schemas.microsoft.com/office/2006/metadata/longProperties"/>
  </ds:schemaRefs>
</ds:datastoreItem>
</file>

<file path=customXml/itemProps6.xml><?xml version="1.0" encoding="utf-8"?>
<ds:datastoreItem xmlns:ds="http://schemas.openxmlformats.org/officeDocument/2006/customXml" ds:itemID="{78DFF17C-B95B-49B1-AC5E-5D5CC6063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3458</Words>
  <Characters>19711</Characters>
  <Application>Microsoft Office Word</Application>
  <DocSecurity>0</DocSecurity>
  <Lines>164</Lines>
  <Paragraphs>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MFRS</Company>
  <LinksUpToDate>false</LinksUpToDate>
  <CharactersWithSpaces>23123</CharactersWithSpaces>
  <SharedDoc>false</SharedDoc>
  <HLinks>
    <vt:vector size="12" baseType="variant">
      <vt:variant>
        <vt:i4>1966091</vt:i4>
      </vt:variant>
      <vt:variant>
        <vt:i4>3</vt:i4>
      </vt:variant>
      <vt:variant>
        <vt:i4>0</vt:i4>
      </vt:variant>
      <vt:variant>
        <vt:i4>5</vt:i4>
      </vt:variant>
      <vt:variant>
        <vt:lpwstr>http://www.mf.gov.si/fileadmin/mf.gov.si/pageuploads/Davki_in_carine/Predlogi_predpisov/2016-07-13_ZDDPO_2N_jav.pdf</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Čibej</dc:creator>
  <cp:lastModifiedBy>Administrator</cp:lastModifiedBy>
  <cp:revision>6</cp:revision>
  <cp:lastPrinted>2017-07-07T11:05:00Z</cp:lastPrinted>
  <dcterms:created xsi:type="dcterms:W3CDTF">2017-07-19T08:19:00Z</dcterms:created>
  <dcterms:modified xsi:type="dcterms:W3CDTF">2017-07-19T08:54:00Z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YPDRX2FCMFN4-31-518</vt:lpwstr>
  </property>
  <property fmtid="{D5CDD505-2E9C-101B-9397-08002B2CF9AE}" pid="3" name="_dlc_DocIdItemGuid">
    <vt:lpwstr>5d60ddc8-5d9f-48a8-ae57-3049bd36a257</vt:lpwstr>
  </property>
  <property fmtid="{D5CDD505-2E9C-101B-9397-08002B2CF9AE}" pid="4" name="_dlc_DocIdUrl">
    <vt:lpwstr>https://iportal.mf.si/podrocja/davkicarine/Dokumenti_skupni_rabi_DSDCJP/_layouts/15/DocIdRedir.aspx?ID=YPDRX2FCMFN4-31-518, YPDRX2FCMFN4-31-518</vt:lpwstr>
  </property>
  <property fmtid="{D5CDD505-2E9C-101B-9397-08002B2CF9AE}" pid="5" name="ContentTypeId">
    <vt:lpwstr>0x01010014F42A6AA591E6448262066C1D2F96B8</vt:lpwstr>
  </property>
</Properties>
</file>